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shd w:val="clear" w:color="auto" w:fill="FFFFFF"/>
        <w:tblCellMar>
          <w:left w:w="0" w:type="dxa"/>
          <w:right w:w="0" w:type="dxa"/>
        </w:tblCellMar>
        <w:tblLook w:val="04A0" w:firstRow="1" w:lastRow="0" w:firstColumn="1" w:lastColumn="0" w:noHBand="0" w:noVBand="1"/>
      </w:tblPr>
      <w:tblGrid>
        <w:gridCol w:w="2391"/>
        <w:gridCol w:w="6953"/>
      </w:tblGrid>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0. Prerequisites</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0" w:name="100000" w:colFirst="0" w:colLast="0"/>
            <w:r w:rsidRPr="00D72C32">
              <w:rPr>
                <w:rFonts w:ascii="Verdana" w:eastAsia="Times New Roman" w:hAnsi="Verdana" w:cs="Times New Roman"/>
                <w:b/>
                <w:bCs/>
                <w:color w:val="0000FF"/>
                <w:sz w:val="15"/>
                <w:szCs w:val="15"/>
              </w:rPr>
              <w:t>0.1 Legal environment</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 w:name="111000"/>
            <w:r w:rsidRPr="00D72C32">
              <w:rPr>
                <w:rFonts w:ascii="Verdana" w:eastAsia="Times New Roman" w:hAnsi="Verdana" w:cs="Times New Roman"/>
                <w:b/>
                <w:bCs/>
                <w:color w:val="0000FF"/>
                <w:sz w:val="15"/>
                <w:szCs w:val="15"/>
              </w:rPr>
              <w:t>0.1.1 Responsibility for collecting, processing, and disseminating statistics</w:t>
            </w:r>
          </w:p>
          <w:bookmarkEnd w:id="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AD217F">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Bank of Namibia collects data on BOP and monetary statistics under section 56 of the Bank of Namibia Act, 1997 which stipulates that "the Bank (BON)</w:t>
            </w:r>
            <w:r w:rsidR="003E177E">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may in writing direct any person to furnish the Bank periodically or otherwise, and before the date or within the period specified in the direction, with such information as may be available to such person and as the Board may consider necessary for the Bank to perform effectively its functions under this Act; or subject to any other law, to submit to the Bank within the period specified in the direction any register, book or document in the possession or custody or under the control of any such person with contains or is believed to contain any such information."</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 w:name="1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0.1.2 Data sharing and coordination among data producing agencies</w:t>
            </w:r>
          </w:p>
          <w:bookmarkEnd w:id="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AD217F">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sharing and coordination among data producing agencies discussions are on-going among other data producing agencies, especially the Namibia Statistics Agency (NSA)</w:t>
            </w:r>
            <w:r>
              <w:rPr>
                <w:rFonts w:ascii="Verdana" w:eastAsia="Times New Roman" w:hAnsi="Verdana" w:cs="Times New Roman"/>
                <w:color w:val="000000"/>
                <w:sz w:val="15"/>
                <w:szCs w:val="15"/>
              </w:rPr>
              <w:t xml:space="preserve"> and Ministry of Finance (MOF)</w:t>
            </w:r>
            <w:r w:rsidRPr="00D72C32">
              <w:rPr>
                <w:rFonts w:ascii="Verdana" w:eastAsia="Times New Roman" w:hAnsi="Verdana" w:cs="Times New Roman"/>
                <w:color w:val="000000"/>
                <w:sz w:val="15"/>
                <w:szCs w:val="15"/>
              </w:rPr>
              <w:t xml:space="preserve"> on trade data. </w:t>
            </w:r>
            <w:r>
              <w:rPr>
                <w:rFonts w:ascii="Verdana" w:eastAsia="Times New Roman" w:hAnsi="Verdana" w:cs="Times New Roman"/>
                <w:color w:val="000000"/>
                <w:sz w:val="15"/>
                <w:szCs w:val="15"/>
              </w:rPr>
              <w:t xml:space="preserve">Standing quarterly meeting between the three institution serve as a platform to reconcile any </w:t>
            </w:r>
            <w:r w:rsidRPr="00D72C32">
              <w:rPr>
                <w:rFonts w:ascii="Verdana" w:eastAsia="Times New Roman" w:hAnsi="Verdana" w:cs="Times New Roman"/>
                <w:color w:val="000000"/>
                <w:sz w:val="15"/>
                <w:szCs w:val="15"/>
              </w:rPr>
              <w:t xml:space="preserve">discrepancies found in </w:t>
            </w:r>
            <w:r>
              <w:rPr>
                <w:rFonts w:ascii="Verdana" w:eastAsia="Times New Roman" w:hAnsi="Verdana" w:cs="Times New Roman"/>
                <w:color w:val="000000"/>
                <w:sz w:val="15"/>
                <w:szCs w:val="15"/>
              </w:rPr>
              <w:t xml:space="preserve">data </w:t>
            </w:r>
            <w:r w:rsidRPr="00D72C32">
              <w:rPr>
                <w:rFonts w:ascii="Verdana" w:eastAsia="Times New Roman" w:hAnsi="Verdana" w:cs="Times New Roman"/>
                <w:color w:val="000000"/>
                <w:sz w:val="15"/>
                <w:szCs w:val="15"/>
              </w:rPr>
              <w:t xml:space="preserve">supposed to be the same data published by BON and NSA. </w:t>
            </w:r>
            <w:r>
              <w:rPr>
                <w:rFonts w:ascii="Verdana" w:eastAsia="Times New Roman" w:hAnsi="Verdana" w:cs="Times New Roman"/>
                <w:color w:val="000000"/>
                <w:sz w:val="15"/>
                <w:szCs w:val="15"/>
              </w:rPr>
              <w:t>The</w:t>
            </w:r>
            <w:r w:rsidRPr="00D72C32">
              <w:rPr>
                <w:rFonts w:ascii="Verdana" w:eastAsia="Times New Roman" w:hAnsi="Verdana" w:cs="Times New Roman"/>
                <w:color w:val="000000"/>
                <w:sz w:val="15"/>
                <w:szCs w:val="15"/>
              </w:rPr>
              <w:t xml:space="preserve"> </w:t>
            </w:r>
            <w:r w:rsidR="003E177E" w:rsidRPr="00A22639">
              <w:rPr>
                <w:rFonts w:ascii="Verdana" w:eastAsia="Times New Roman" w:hAnsi="Verdana" w:cs="Times New Roman"/>
                <w:color w:val="000000"/>
                <w:sz w:val="15"/>
                <w:szCs w:val="15"/>
              </w:rPr>
              <w:t>Memorandum of Understanding</w:t>
            </w:r>
            <w:r w:rsidR="003E177E">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MOU</w:t>
            </w:r>
            <w:r w:rsidR="003E177E">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between these agencies requires regular meetings to review the data shared between t</w:t>
            </w:r>
            <w:r>
              <w:rPr>
                <w:rFonts w:ascii="Verdana" w:eastAsia="Times New Roman" w:hAnsi="Verdana" w:cs="Times New Roman"/>
                <w:color w:val="000000"/>
                <w:sz w:val="15"/>
                <w:szCs w:val="15"/>
              </w:rPr>
              <w:t>he</w:t>
            </w:r>
            <w:r w:rsidRPr="00D72C32">
              <w:rPr>
                <w:rFonts w:ascii="Verdana" w:eastAsia="Times New Roman" w:hAnsi="Verdana" w:cs="Times New Roman"/>
                <w:color w:val="000000"/>
                <w:sz w:val="15"/>
                <w:szCs w:val="15"/>
              </w:rPr>
              <w:t xml:space="preserve"> institutions.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 w:name="11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0.1.3 Confidentiality of individual reporters' data</w:t>
            </w:r>
          </w:p>
          <w:bookmarkEnd w:id="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902DC4">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All persons employed by the Bank are bound to secrecy and required to sign a declaration of secrecy upon entering duty. Under this Act, no person shall directly or indirectly disclose to another person any information that he or she has acquired in the performance of his or her duties or functions, for or on behalf of the Bank, except for the purpose of the performance of his or her duties or functions in terms of this Act or when required to do so by a court of law or under any law or on authority of the Board. Any person who contravenes this, shall be guilty of an offence and liable or conviction to a fine not exceeding N$20 000 or to imprisonment for a period not exceeding five years, or to both such fine and imprisonment. The Act assured respondents that their information will be regarded as strictly confidential and will not be disclosed to anyone outside other divisions of the Bank or outside the Bank. The data will be published in aggregate form only and will not reveal the results of any one respondent.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 w:name="114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0.1.4 Ensuring statistical reporting</w:t>
            </w:r>
          </w:p>
          <w:bookmarkEnd w:id="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Any person who fails to supply any information called for by the Bank or willfully supplies any false or misleading information shall be guilty of an offence and liable on conviction to a fine not exceeding N$20 000 or to imprisonment for a period not exceeding five years, or both such fine and such imprisonment."</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0.2 Resources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5" w:name="121000"/>
            <w:r w:rsidRPr="00D72C32">
              <w:rPr>
                <w:rFonts w:ascii="Verdana" w:eastAsia="Times New Roman" w:hAnsi="Verdana" w:cs="Times New Roman"/>
                <w:b/>
                <w:bCs/>
                <w:color w:val="0000FF"/>
                <w:sz w:val="15"/>
                <w:szCs w:val="15"/>
              </w:rPr>
              <w:t>0.2.1 Staff, facilities, computing resources, and financing</w:t>
            </w:r>
          </w:p>
          <w:bookmarkEnd w:id="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902DC4">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There are </w:t>
            </w:r>
            <w:r w:rsidR="00902DC4">
              <w:rPr>
                <w:rFonts w:ascii="Verdana" w:eastAsia="Times New Roman" w:hAnsi="Verdana" w:cs="Times New Roman"/>
                <w:color w:val="000000"/>
                <w:sz w:val="15"/>
                <w:szCs w:val="15"/>
              </w:rPr>
              <w:t>six</w:t>
            </w:r>
            <w:r w:rsidRPr="00D72C32">
              <w:rPr>
                <w:rFonts w:ascii="Verdana" w:eastAsia="Times New Roman" w:hAnsi="Verdana" w:cs="Times New Roman"/>
                <w:color w:val="000000"/>
                <w:sz w:val="15"/>
                <w:szCs w:val="15"/>
              </w:rPr>
              <w:t xml:space="preserve"> staff working on BOP issues. The data are collected mainly through surveys and administrat</w:t>
            </w:r>
            <w:r w:rsidR="00902DC4">
              <w:rPr>
                <w:rFonts w:ascii="Verdana" w:eastAsia="Times New Roman" w:hAnsi="Verdana" w:cs="Times New Roman"/>
                <w:color w:val="000000"/>
                <w:sz w:val="15"/>
                <w:szCs w:val="15"/>
              </w:rPr>
              <w:t>ive</w:t>
            </w:r>
            <w:r w:rsidRPr="00D72C32">
              <w:rPr>
                <w:rFonts w:ascii="Verdana" w:eastAsia="Times New Roman" w:hAnsi="Verdana" w:cs="Times New Roman"/>
                <w:color w:val="000000"/>
                <w:sz w:val="15"/>
                <w:szCs w:val="15"/>
              </w:rPr>
              <w:t xml:space="preserve"> records within the Bank and from entities. The collected data is received through e-mails and through an internally developed system called, Intergraded Electronic Research System (IERS), which is further used for generating reports for compilation in the </w:t>
            </w:r>
            <w:r w:rsidRPr="00D72C32">
              <w:rPr>
                <w:rFonts w:ascii="Verdana" w:eastAsia="Times New Roman" w:hAnsi="Verdana" w:cs="Times New Roman"/>
                <w:color w:val="000000"/>
                <w:sz w:val="15"/>
                <w:szCs w:val="15"/>
              </w:rPr>
              <w:lastRenderedPageBreak/>
              <w:t>main worksheets. However, the data received through the e-mails or through the administrative records are manually entered into the IERS system to generate the reports.</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0"/>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lastRenderedPageBreak/>
              <w:t>1. Integrity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6" w:name="200000" w:colFirst="0" w:colLast="0"/>
            <w:r w:rsidRPr="00D72C32">
              <w:rPr>
                <w:rFonts w:ascii="Verdana" w:eastAsia="Times New Roman" w:hAnsi="Verdana" w:cs="Times New Roman"/>
                <w:b/>
                <w:bCs/>
                <w:color w:val="0000FF"/>
                <w:sz w:val="15"/>
                <w:szCs w:val="15"/>
              </w:rPr>
              <w:t>1.1 Professionalism</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7" w:name="211000"/>
            <w:r w:rsidRPr="00D72C32">
              <w:rPr>
                <w:rFonts w:ascii="Verdana" w:eastAsia="Times New Roman" w:hAnsi="Verdana" w:cs="Times New Roman"/>
                <w:b/>
                <w:bCs/>
                <w:color w:val="0000FF"/>
                <w:sz w:val="15"/>
                <w:szCs w:val="15"/>
              </w:rPr>
              <w:t>1.1.1 Impartiality of statistics</w:t>
            </w:r>
          </w:p>
          <w:bookmarkEnd w:id="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6B6180">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Data are collected from various sectors of the economy and it is always ensured that each sector is well presented in terms of either number or significance in the produced unit. Data is also obtained from other data collecting agencies as a way of broadening the scope of data collection. The collected data is aggregated and it </w:t>
            </w:r>
            <w:r w:rsidR="006B6180">
              <w:rPr>
                <w:rFonts w:ascii="Verdana" w:eastAsia="Times New Roman" w:hAnsi="Verdana" w:cs="Times New Roman"/>
                <w:color w:val="000000"/>
                <w:sz w:val="15"/>
                <w:szCs w:val="15"/>
              </w:rPr>
              <w:t xml:space="preserve">is </w:t>
            </w:r>
            <w:r w:rsidRPr="00D72C32">
              <w:rPr>
                <w:rFonts w:ascii="Verdana" w:eastAsia="Times New Roman" w:hAnsi="Verdana" w:cs="Times New Roman"/>
                <w:color w:val="000000"/>
                <w:sz w:val="15"/>
                <w:szCs w:val="15"/>
              </w:rPr>
              <w:t>never released as data from only a few entities, but of all.</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8" w:name="2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1.1.2 Selection of sources, methodology, and modes of dissemination</w:t>
            </w:r>
          </w:p>
          <w:bookmarkEnd w:id="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422D4D">
            <w:pPr>
              <w:spacing w:before="100" w:beforeAutospacing="1" w:after="100" w:afterAutospacing="1" w:line="240" w:lineRule="auto"/>
              <w:jc w:val="both"/>
              <w:rPr>
                <w:rFonts w:ascii="Verdana" w:eastAsia="Times New Roman" w:hAnsi="Verdana" w:cs="Times New Roman"/>
                <w:color w:val="000000"/>
                <w:sz w:val="15"/>
                <w:szCs w:val="15"/>
              </w:rPr>
            </w:pPr>
            <w:r w:rsidRPr="00422D4D">
              <w:rPr>
                <w:rFonts w:ascii="Verdana" w:eastAsia="Times New Roman" w:hAnsi="Verdana" w:cs="Times New Roman"/>
                <w:color w:val="000000"/>
                <w:sz w:val="15"/>
                <w:szCs w:val="15"/>
              </w:rPr>
              <w:t>The main source of obtaining the data is through surveys, administrative records of BON as well as from other data producing institutions</w:t>
            </w:r>
            <w:r w:rsidR="006B6180" w:rsidRPr="00422D4D">
              <w:rPr>
                <w:rFonts w:ascii="Verdana" w:eastAsia="Times New Roman" w:hAnsi="Verdana" w:cs="Times New Roman"/>
                <w:color w:val="000000"/>
                <w:sz w:val="15"/>
                <w:szCs w:val="15"/>
              </w:rPr>
              <w:t xml:space="preserve"> </w:t>
            </w:r>
            <w:r w:rsidR="00B746F7" w:rsidRPr="00422D4D">
              <w:rPr>
                <w:rFonts w:ascii="Verdana" w:eastAsia="Times New Roman" w:hAnsi="Verdana" w:cs="Times New Roman"/>
                <w:color w:val="000000"/>
                <w:sz w:val="15"/>
                <w:szCs w:val="15"/>
              </w:rPr>
              <w:t xml:space="preserve">such as NSA, MOF, </w:t>
            </w:r>
            <w:r w:rsidR="00164779" w:rsidRPr="00422D4D">
              <w:rPr>
                <w:rFonts w:ascii="Verdana" w:eastAsia="Times New Roman" w:hAnsi="Verdana" w:cs="Times New Roman"/>
                <w:color w:val="000000"/>
                <w:sz w:val="15"/>
                <w:szCs w:val="15"/>
              </w:rPr>
              <w:t xml:space="preserve">National Planning Commission (NPC), </w:t>
            </w:r>
            <w:r w:rsidR="00863C41" w:rsidRPr="00422D4D">
              <w:rPr>
                <w:rFonts w:ascii="Verdana" w:eastAsia="Times New Roman" w:hAnsi="Verdana" w:cs="Times New Roman"/>
                <w:color w:val="000000"/>
                <w:sz w:val="15"/>
                <w:szCs w:val="15"/>
              </w:rPr>
              <w:t>International Monetary Funds (</w:t>
            </w:r>
            <w:r w:rsidR="006B6180" w:rsidRPr="00422D4D">
              <w:rPr>
                <w:rFonts w:ascii="Verdana" w:eastAsia="Times New Roman" w:hAnsi="Verdana" w:cs="Times New Roman"/>
                <w:color w:val="000000"/>
                <w:sz w:val="15"/>
                <w:szCs w:val="15"/>
              </w:rPr>
              <w:t>IMF</w:t>
            </w:r>
            <w:r w:rsidR="00863C41" w:rsidRPr="00422D4D">
              <w:rPr>
                <w:rFonts w:ascii="Verdana" w:eastAsia="Times New Roman" w:hAnsi="Verdana" w:cs="Times New Roman"/>
                <w:color w:val="000000"/>
                <w:sz w:val="15"/>
                <w:szCs w:val="15"/>
              </w:rPr>
              <w:t>)</w:t>
            </w:r>
            <w:r w:rsidR="00422D4D" w:rsidRPr="00422D4D">
              <w:rPr>
                <w:rFonts w:ascii="Verdana" w:eastAsia="Times New Roman" w:hAnsi="Verdana" w:cs="Times New Roman"/>
                <w:color w:val="000000"/>
                <w:sz w:val="15"/>
                <w:szCs w:val="15"/>
              </w:rPr>
              <w:t xml:space="preserve">, </w:t>
            </w:r>
            <w:r w:rsidR="003E177E" w:rsidRPr="00422D4D">
              <w:rPr>
                <w:rFonts w:ascii="Verdana" w:eastAsia="Times New Roman" w:hAnsi="Verdana" w:cs="Times New Roman"/>
                <w:color w:val="000000"/>
                <w:sz w:val="15"/>
                <w:szCs w:val="15"/>
              </w:rPr>
              <w:t>Bank for International Settlements (B</w:t>
            </w:r>
            <w:r w:rsidR="006B6180" w:rsidRPr="00422D4D">
              <w:rPr>
                <w:rFonts w:ascii="Verdana" w:eastAsia="Times New Roman" w:hAnsi="Verdana" w:cs="Times New Roman"/>
                <w:color w:val="000000"/>
                <w:sz w:val="15"/>
                <w:szCs w:val="15"/>
              </w:rPr>
              <w:t>IS</w:t>
            </w:r>
            <w:r w:rsidR="003E177E" w:rsidRPr="00422D4D">
              <w:rPr>
                <w:rFonts w:ascii="Verdana" w:eastAsia="Times New Roman" w:hAnsi="Verdana" w:cs="Times New Roman"/>
                <w:color w:val="000000"/>
                <w:sz w:val="15"/>
                <w:szCs w:val="15"/>
              </w:rPr>
              <w:t>)</w:t>
            </w:r>
            <w:r w:rsidR="00863C41" w:rsidRPr="00422D4D">
              <w:rPr>
                <w:rFonts w:ascii="Verdana" w:eastAsia="Times New Roman" w:hAnsi="Verdana" w:cs="Times New Roman"/>
                <w:color w:val="000000"/>
                <w:sz w:val="15"/>
                <w:szCs w:val="15"/>
              </w:rPr>
              <w:t xml:space="preserve">, International Transaction Report System </w:t>
            </w:r>
            <w:r w:rsidR="00422D4D" w:rsidRPr="00422D4D">
              <w:rPr>
                <w:rFonts w:ascii="Verdana" w:eastAsia="Times New Roman" w:hAnsi="Verdana" w:cs="Times New Roman"/>
                <w:color w:val="000000"/>
                <w:sz w:val="15"/>
                <w:szCs w:val="15"/>
              </w:rPr>
              <w:t>(</w:t>
            </w:r>
            <w:r w:rsidR="00863C41" w:rsidRPr="00422D4D">
              <w:rPr>
                <w:rFonts w:ascii="Verdana" w:eastAsia="Times New Roman" w:hAnsi="Verdana" w:cs="Times New Roman"/>
                <w:color w:val="000000"/>
                <w:sz w:val="15"/>
                <w:szCs w:val="15"/>
              </w:rPr>
              <w:t>ITRS</w:t>
            </w:r>
            <w:r w:rsidR="00422D4D" w:rsidRPr="00422D4D">
              <w:rPr>
                <w:rFonts w:ascii="Verdana" w:eastAsia="Times New Roman" w:hAnsi="Verdana" w:cs="Times New Roman"/>
                <w:color w:val="000000"/>
                <w:sz w:val="15"/>
                <w:szCs w:val="15"/>
              </w:rPr>
              <w:t xml:space="preserve">) and </w:t>
            </w:r>
            <w:r w:rsidR="00422D4D">
              <w:rPr>
                <w:rFonts w:ascii="Verdana" w:eastAsia="Times New Roman" w:hAnsi="Verdana" w:cs="Times New Roman"/>
                <w:color w:val="000000"/>
                <w:sz w:val="15"/>
                <w:szCs w:val="15"/>
              </w:rPr>
              <w:t xml:space="preserve">the </w:t>
            </w:r>
            <w:r w:rsidR="00422D4D" w:rsidRPr="00422D4D">
              <w:rPr>
                <w:rFonts w:ascii="Verdana" w:eastAsia="Times New Roman" w:hAnsi="Verdana" w:cs="Times New Roman"/>
                <w:color w:val="000000"/>
                <w:sz w:val="15"/>
                <w:szCs w:val="15"/>
              </w:rPr>
              <w:t>Coordinated Direct Investment Survey (</w:t>
            </w:r>
            <w:r w:rsidR="00863C41" w:rsidRPr="00422D4D">
              <w:rPr>
                <w:rFonts w:ascii="Verdana" w:eastAsia="Times New Roman" w:hAnsi="Verdana" w:cs="Times New Roman"/>
                <w:color w:val="000000"/>
                <w:sz w:val="15"/>
                <w:szCs w:val="15"/>
              </w:rPr>
              <w:t>CDIS</w:t>
            </w:r>
            <w:r w:rsidR="00422D4D" w:rsidRPr="00422D4D">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9" w:name="21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1.1.3 Commenting on erroneous interpretation and misuse of statistics</w:t>
            </w:r>
          </w:p>
          <w:bookmarkEnd w:id="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651EBD">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Before any official release of a major report such as Annual Report or Quarterly Bulletin, erroneous statements or misuse of statistics are identified by only the staff of the Research Department and in case of any detection of such errors, an erratum is issued with the released report, stating the error and provide correct interpretation or statistics.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1.2 Transparency</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0" w:name="221000"/>
            <w:r w:rsidRPr="00D72C32">
              <w:rPr>
                <w:rFonts w:ascii="Verdana" w:eastAsia="Times New Roman" w:hAnsi="Verdana" w:cs="Times New Roman"/>
                <w:b/>
                <w:bCs/>
                <w:color w:val="0000FF"/>
                <w:sz w:val="15"/>
                <w:szCs w:val="15"/>
              </w:rPr>
              <w:t>1.2.1 Disclosure of terms and conditions for statistical collection, processing, and dissemination</w:t>
            </w:r>
          </w:p>
          <w:bookmarkEnd w:id="1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Bank of Namibia Act is available to users upon request and it is also posted on the Bank of Namibia website: </w:t>
            </w:r>
            <w:hyperlink r:id="rId7" w:history="1">
              <w:r w:rsidRPr="00D72C32">
                <w:rPr>
                  <w:rFonts w:ascii="Verdana" w:eastAsia="Times New Roman" w:hAnsi="Verdana" w:cs="Times New Roman"/>
                  <w:color w:val="0000FF"/>
                  <w:sz w:val="15"/>
                  <w:szCs w:val="15"/>
                  <w:u w:val="single"/>
                </w:rPr>
                <w:t>http://www.bon.com.na</w:t>
              </w:r>
            </w:hyperlink>
          </w:p>
          <w:p w:rsidR="00D72C32" w:rsidRPr="00D72C32" w:rsidRDefault="00D72C32" w:rsidP="00D72C32">
            <w:pPr>
              <w:spacing w:after="0" w:line="240" w:lineRule="auto"/>
              <w:rPr>
                <w:rFonts w:ascii="Verdana" w:eastAsia="Times New Roman" w:hAnsi="Verdana" w:cs="Times New Roman"/>
                <w:color w:val="0000FF"/>
                <w:sz w:val="15"/>
                <w:szCs w:val="15"/>
              </w:rPr>
            </w:pPr>
            <w:bookmarkStart w:id="11" w:name="22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1.2.2 Internal governmental access to statistics prior to release</w:t>
            </w:r>
          </w:p>
          <w:bookmarkEnd w:id="1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 persons have access to the data and or publications of the Bank of Namibia, prior to its publication apart from staff members of the Research department.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2" w:name="22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1.2.3 Attribution of statistical products</w:t>
            </w:r>
          </w:p>
          <w:bookmarkEnd w:id="1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 ministerial comment is attached to statistical releases.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3" w:name="224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1.2.4 Advance notice of major changes in methodology, source data, and statistical techniques.</w:t>
            </w:r>
          </w:p>
          <w:bookmarkEnd w:id="1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293F77">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 revision policy is in place for the Balance of Payments data and is published each quarter with every release of the Quarterly Bulletin. Data released in the previous Quarterly Bulletin are revised in the next quarter with explanatory notes on why the data were revised. Footnotes are also used to indicate which published dat</w:t>
            </w:r>
            <w:r w:rsidRPr="00A22639">
              <w:rPr>
                <w:rFonts w:ascii="Verdana" w:eastAsia="Times New Roman" w:hAnsi="Verdana" w:cs="Times New Roman"/>
                <w:color w:val="000000"/>
                <w:sz w:val="15"/>
                <w:szCs w:val="15"/>
              </w:rPr>
              <w:t>a are provisional. F</w:t>
            </w:r>
            <w:r w:rsidR="00863C41" w:rsidRPr="00A22639">
              <w:rPr>
                <w:rFonts w:ascii="Verdana" w:eastAsia="Times New Roman" w:hAnsi="Verdana" w:cs="Times New Roman"/>
                <w:color w:val="000000"/>
                <w:sz w:val="15"/>
                <w:szCs w:val="15"/>
              </w:rPr>
              <w:t>urthermore, the revision policy is</w:t>
            </w:r>
            <w:r w:rsidRPr="00A22639">
              <w:rPr>
                <w:rFonts w:ascii="Verdana" w:eastAsia="Times New Roman" w:hAnsi="Verdana" w:cs="Times New Roman"/>
                <w:color w:val="000000"/>
                <w:sz w:val="15"/>
                <w:szCs w:val="15"/>
              </w:rPr>
              <w:t xml:space="preserve"> published on the Bank's website.</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1.3 Ethical standards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4" w:name="231000"/>
            <w:r w:rsidRPr="00D72C32">
              <w:rPr>
                <w:rFonts w:ascii="Verdana" w:eastAsia="Times New Roman" w:hAnsi="Verdana" w:cs="Times New Roman"/>
                <w:b/>
                <w:bCs/>
                <w:color w:val="0000FF"/>
                <w:sz w:val="15"/>
                <w:szCs w:val="15"/>
              </w:rPr>
              <w:t>1.3.1 Guidelines for staff behavior</w:t>
            </w:r>
          </w:p>
          <w:bookmarkEnd w:id="1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293F77">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BON's staff are encouraged to act ethically at all times. A staff handbook on how staff members should behave in or outside the Bank premises are made available to staff and guidelines are published under the Human Resources' issues in the Internet and is further encouraged through the Vision and Mission of BON.</w:t>
            </w:r>
            <w:r w:rsidR="00293F77">
              <w:rPr>
                <w:rFonts w:ascii="Verdana" w:eastAsia="Times New Roman" w:hAnsi="Verdana" w:cs="Times New Roman"/>
                <w:color w:val="000000"/>
                <w:sz w:val="15"/>
                <w:szCs w:val="15"/>
              </w:rPr>
              <w:t xml:space="preserve"> All staff are also to adhere to the Code of Ethics. </w:t>
            </w:r>
            <w:r w:rsidR="00293F77" w:rsidRPr="00293F77">
              <w:rPr>
                <w:rFonts w:ascii="Verdana" w:eastAsia="Times New Roman" w:hAnsi="Verdana" w:cs="Times New Roman"/>
                <w:color w:val="000000"/>
                <w:sz w:val="15"/>
                <w:szCs w:val="15"/>
              </w:rPr>
              <w:t>The Code is issued in terms of section 59 (2) of the Act and which the Board of the Bank makes applicable for strict adherence by all appointed staff members and as an enforceable part of their terms and conditions of employment to the Bank</w:t>
            </w:r>
            <w:r w:rsidR="00293F77">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6"/>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2. Methodology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15" w:name="300000" w:colFirst="0" w:colLast="0"/>
            <w:r w:rsidRPr="00D72C32">
              <w:rPr>
                <w:rFonts w:ascii="Verdana" w:eastAsia="Times New Roman" w:hAnsi="Verdana" w:cs="Times New Roman"/>
                <w:b/>
                <w:bCs/>
                <w:color w:val="0000FF"/>
                <w:sz w:val="15"/>
                <w:szCs w:val="15"/>
              </w:rPr>
              <w:t>2.1 Concepts and definitions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730C58" w:rsidRDefault="00D72C32" w:rsidP="00D72C32">
            <w:pPr>
              <w:shd w:val="clear" w:color="auto" w:fill="E3E4FA"/>
              <w:spacing w:after="0" w:line="240" w:lineRule="auto"/>
              <w:rPr>
                <w:rFonts w:ascii="Verdana" w:eastAsia="Times New Roman" w:hAnsi="Verdana" w:cs="Times New Roman"/>
                <w:color w:val="000000"/>
                <w:sz w:val="15"/>
                <w:szCs w:val="15"/>
              </w:rPr>
            </w:pPr>
            <w:bookmarkStart w:id="16" w:name="311000"/>
            <w:r w:rsidRPr="00730C58">
              <w:rPr>
                <w:rFonts w:ascii="Verdana" w:eastAsia="Times New Roman" w:hAnsi="Verdana" w:cs="Times New Roman"/>
                <w:color w:val="000000"/>
                <w:sz w:val="15"/>
                <w:szCs w:val="15"/>
              </w:rPr>
              <w:t>2.1.1 Concepts and definitions</w:t>
            </w:r>
          </w:p>
          <w:bookmarkEnd w:id="1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730C58" w:rsidP="00730C58">
            <w:pPr>
              <w:spacing w:beforeAutospacing="1" w:after="0" w:afterAutospacing="1" w:line="240" w:lineRule="auto"/>
              <w:jc w:val="both"/>
              <w:rPr>
                <w:rFonts w:ascii="Verdana" w:eastAsia="Times New Roman" w:hAnsi="Verdana" w:cs="Times New Roman"/>
                <w:color w:val="000000"/>
                <w:sz w:val="15"/>
                <w:szCs w:val="15"/>
              </w:rPr>
            </w:pPr>
            <w:r w:rsidRPr="00730C58">
              <w:rPr>
                <w:rFonts w:ascii="Verdana" w:eastAsia="Times New Roman" w:hAnsi="Verdana" w:cs="Times New Roman"/>
                <w:color w:val="000000"/>
                <w:sz w:val="15"/>
                <w:szCs w:val="15"/>
              </w:rPr>
              <w:t xml:space="preserve">The International Investment Position (IIP) for </w:t>
            </w:r>
            <w:smartTag w:uri="urn:schemas-microsoft-com:office:smarttags" w:element="country-region">
              <w:smartTag w:uri="urn:schemas-microsoft-com:office:smarttags" w:element="place">
                <w:r w:rsidRPr="00730C58">
                  <w:rPr>
                    <w:rFonts w:ascii="Verdana" w:eastAsia="Times New Roman" w:hAnsi="Verdana" w:cs="Times New Roman"/>
                    <w:color w:val="000000"/>
                    <w:sz w:val="15"/>
                    <w:szCs w:val="15"/>
                  </w:rPr>
                  <w:t>Namibia</w:t>
                </w:r>
              </w:smartTag>
            </w:smartTag>
            <w:r w:rsidRPr="00730C58">
              <w:rPr>
                <w:rFonts w:ascii="Verdana" w:eastAsia="Times New Roman" w:hAnsi="Verdana" w:cs="Times New Roman"/>
                <w:color w:val="000000"/>
                <w:sz w:val="15"/>
                <w:szCs w:val="15"/>
              </w:rPr>
              <w:t xml:space="preserve"> is a balance sheet summarizing the stock of external financial assets (claims by resident on non-residents) and liabilities to residents (claims by non-residents on residents).  The Bank of Namibia (BoN) is responsible for the compilation of the IIP statistics. The legal basis for compiling IIP in Namibia is the BoN Act no. 15 of 1997. </w:t>
            </w:r>
            <w:r w:rsidR="00D72C32" w:rsidRPr="00D72C32">
              <w:rPr>
                <w:rFonts w:ascii="Verdana" w:eastAsia="Times New Roman" w:hAnsi="Verdana" w:cs="Times New Roman"/>
                <w:color w:val="000000"/>
                <w:sz w:val="15"/>
                <w:szCs w:val="15"/>
              </w:rPr>
              <w:t xml:space="preserve">The balance of payments presentation and methodology are largely in conformity </w:t>
            </w:r>
            <w:r w:rsidR="00D72C32" w:rsidRPr="00863C41">
              <w:rPr>
                <w:rFonts w:ascii="Verdana" w:eastAsia="Times New Roman" w:hAnsi="Verdana" w:cs="Times New Roman"/>
                <w:color w:val="000000"/>
                <w:sz w:val="15"/>
                <w:szCs w:val="15"/>
              </w:rPr>
              <w:t xml:space="preserve">with the </w:t>
            </w:r>
            <w:r w:rsidR="0045583B" w:rsidRPr="00863C41">
              <w:rPr>
                <w:rFonts w:ascii="Verdana" w:eastAsia="Times New Roman" w:hAnsi="Verdana" w:cs="Times New Roman"/>
                <w:color w:val="000000"/>
                <w:sz w:val="15"/>
                <w:szCs w:val="15"/>
              </w:rPr>
              <w:t>six</w:t>
            </w:r>
            <w:r w:rsidR="00D72C32" w:rsidRPr="00863C41">
              <w:rPr>
                <w:rFonts w:ascii="Verdana" w:eastAsia="Times New Roman" w:hAnsi="Verdana" w:cs="Times New Roman"/>
                <w:color w:val="000000"/>
                <w:sz w:val="15"/>
                <w:szCs w:val="15"/>
              </w:rPr>
              <w:t>th edition of the IMF </w:t>
            </w:r>
            <w:r w:rsidR="0045583B" w:rsidRPr="00730C58">
              <w:rPr>
                <w:rFonts w:ascii="Verdana" w:eastAsia="Times New Roman" w:hAnsi="Verdana" w:cs="Times New Roman"/>
                <w:color w:val="000000"/>
                <w:sz w:val="15"/>
                <w:szCs w:val="15"/>
              </w:rPr>
              <w:t xml:space="preserve">Balance of Payments </w:t>
            </w:r>
            <w:r w:rsidR="003E177E" w:rsidRPr="00730C58">
              <w:rPr>
                <w:rFonts w:ascii="Verdana" w:eastAsia="Times New Roman" w:hAnsi="Verdana" w:cs="Times New Roman"/>
                <w:color w:val="000000"/>
                <w:sz w:val="15"/>
                <w:szCs w:val="15"/>
              </w:rPr>
              <w:t xml:space="preserve">and International Investment Position </w:t>
            </w:r>
            <w:r w:rsidR="0045583B" w:rsidRPr="00730C58">
              <w:rPr>
                <w:rFonts w:ascii="Verdana" w:eastAsia="Times New Roman" w:hAnsi="Verdana" w:cs="Times New Roman"/>
                <w:color w:val="000000"/>
                <w:sz w:val="15"/>
                <w:szCs w:val="15"/>
              </w:rPr>
              <w:t>Manual (BPM6</w:t>
            </w:r>
            <w:r w:rsidR="00D72C32" w:rsidRPr="00730C58">
              <w:rPr>
                <w:rFonts w:ascii="Verdana" w:eastAsia="Times New Roman" w:hAnsi="Verdana" w:cs="Times New Roman"/>
                <w:color w:val="000000"/>
                <w:sz w:val="15"/>
                <w:szCs w:val="15"/>
              </w:rPr>
              <w:t>)</w:t>
            </w:r>
            <w:r w:rsidR="00D72C32" w:rsidRPr="00D72C32">
              <w:rPr>
                <w:rFonts w:ascii="Verdana" w:eastAsia="Times New Roman" w:hAnsi="Verdana" w:cs="Times New Roman"/>
                <w:color w:val="000000"/>
                <w:sz w:val="15"/>
                <w:szCs w:val="15"/>
              </w:rPr>
              <w:t>.</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2.2 Scope</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17" w:name="321100"/>
            <w:r w:rsidRPr="00D72C32">
              <w:rPr>
                <w:rFonts w:ascii="Verdana" w:eastAsia="Times New Roman" w:hAnsi="Verdana" w:cs="Times New Roman"/>
                <w:b/>
                <w:bCs/>
                <w:color w:val="0000FF"/>
                <w:sz w:val="15"/>
                <w:szCs w:val="15"/>
              </w:rPr>
              <w:t>Scope of the data</w:t>
            </w:r>
          </w:p>
          <w:bookmarkEnd w:id="17"/>
          <w:p w:rsidR="00D72C32" w:rsidRPr="00D72C32" w:rsidRDefault="00D72C32" w:rsidP="00D72C32">
            <w:pPr>
              <w:spacing w:after="0" w:line="240" w:lineRule="auto"/>
              <w:rPr>
                <w:rFonts w:ascii="Verdana" w:eastAsia="Times New Roman" w:hAnsi="Verdana" w:cs="Times New Roman"/>
                <w:color w:val="000000"/>
                <w:sz w:val="15"/>
                <w:szCs w:val="15"/>
              </w:rPr>
            </w:pPr>
          </w:p>
          <w:p w:rsidR="00863C41" w:rsidRDefault="00863C41" w:rsidP="00D72C32">
            <w:pPr>
              <w:spacing w:before="100" w:beforeAutospacing="1" w:after="100" w:afterAutospacing="1" w:line="240" w:lineRule="auto"/>
              <w:rPr>
                <w:rFonts w:ascii="Verdana" w:eastAsia="Times New Roman" w:hAnsi="Verdana" w:cs="Times New Roman"/>
                <w:color w:val="000000"/>
                <w:sz w:val="15"/>
                <w:szCs w:val="15"/>
              </w:rPr>
            </w:pPr>
            <w:r w:rsidRPr="00422D4D">
              <w:rPr>
                <w:rFonts w:ascii="Verdana" w:eastAsia="Times New Roman" w:hAnsi="Verdana" w:cs="Times New Roman"/>
                <w:color w:val="000000"/>
                <w:sz w:val="15"/>
                <w:szCs w:val="15"/>
              </w:rPr>
              <w:t xml:space="preserve">The Bank of Namibia (BoN) is responsible for the compilation and dissemination of </w:t>
            </w:r>
            <w:r w:rsidR="00601B4F">
              <w:rPr>
                <w:rFonts w:ascii="Verdana" w:eastAsia="Times New Roman" w:hAnsi="Verdana" w:cs="Times New Roman"/>
                <w:color w:val="000000"/>
                <w:sz w:val="15"/>
                <w:szCs w:val="15"/>
              </w:rPr>
              <w:t>international investment position</w:t>
            </w:r>
            <w:r w:rsidRPr="00422D4D">
              <w:rPr>
                <w:rFonts w:ascii="Verdana" w:eastAsia="Times New Roman" w:hAnsi="Verdana" w:cs="Times New Roman"/>
                <w:color w:val="000000"/>
                <w:sz w:val="15"/>
                <w:szCs w:val="15"/>
              </w:rPr>
              <w:t xml:space="preserve"> statistics.</w:t>
            </w:r>
            <w:r w:rsidRPr="00D72C32">
              <w:rPr>
                <w:rFonts w:ascii="Verdana" w:eastAsia="Times New Roman" w:hAnsi="Verdana" w:cs="Times New Roman"/>
                <w:color w:val="000000"/>
                <w:sz w:val="15"/>
                <w:szCs w:val="15"/>
              </w:rPr>
              <w:t xml:space="preserve"> </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geographic territory of Namibia, including Export Processing Zones, is the territory of reference for the balance of payments.</w:t>
            </w:r>
          </w:p>
          <w:p w:rsidR="00D72C32" w:rsidRPr="00D72C32" w:rsidRDefault="00D72C32" w:rsidP="00123CD2">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In principle, all major transactions are recorded. The transactions recorded in the</w:t>
            </w:r>
            <w:r w:rsidR="00601B4F">
              <w:rPr>
                <w:rFonts w:ascii="Verdana" w:eastAsia="Times New Roman" w:hAnsi="Verdana" w:cs="Times New Roman"/>
                <w:color w:val="000000"/>
                <w:sz w:val="15"/>
                <w:szCs w:val="15"/>
              </w:rPr>
              <w:t xml:space="preserve"> </w:t>
            </w:r>
            <w:r w:rsidR="00601B4F">
              <w:rPr>
                <w:rFonts w:ascii="Verdana" w:eastAsia="Times New Roman" w:hAnsi="Verdana" w:cs="Times New Roman"/>
                <w:color w:val="000000"/>
                <w:sz w:val="15"/>
                <w:szCs w:val="15"/>
              </w:rPr>
              <w:t>international investment position</w:t>
            </w:r>
            <w:r w:rsidRPr="00D72C32">
              <w:rPr>
                <w:rFonts w:ascii="Verdana" w:eastAsia="Times New Roman" w:hAnsi="Verdana" w:cs="Times New Roman"/>
                <w:color w:val="000000"/>
                <w:sz w:val="15"/>
                <w:szCs w:val="15"/>
              </w:rPr>
              <w:t xml:space="preserve"> statistics are those of Namibian residents with non-residents. </w:t>
            </w:r>
            <w:r w:rsidR="00123CD2">
              <w:rPr>
                <w:rFonts w:ascii="Verdana" w:eastAsia="Times New Roman" w:hAnsi="Verdana" w:cs="Times New Roman"/>
                <w:color w:val="000000"/>
                <w:sz w:val="15"/>
                <w:szCs w:val="15"/>
              </w:rPr>
              <w:t>With the migration to BPM6 (since June</w:t>
            </w:r>
            <w:r w:rsidRPr="00D72C32">
              <w:rPr>
                <w:rFonts w:ascii="Verdana" w:eastAsia="Times New Roman" w:hAnsi="Verdana" w:cs="Times New Roman"/>
                <w:color w:val="000000"/>
                <w:sz w:val="15"/>
                <w:szCs w:val="15"/>
              </w:rPr>
              <w:t xml:space="preserve"> 201</w:t>
            </w:r>
            <w:r w:rsidR="00123CD2">
              <w:rPr>
                <w:rFonts w:ascii="Verdana" w:eastAsia="Times New Roman" w:hAnsi="Verdana" w:cs="Times New Roman"/>
                <w:color w:val="000000"/>
                <w:sz w:val="15"/>
                <w:szCs w:val="15"/>
              </w:rPr>
              <w:t>7</w:t>
            </w:r>
            <w:r w:rsidRPr="00D72C32">
              <w:rPr>
                <w:rFonts w:ascii="Verdana" w:eastAsia="Times New Roman" w:hAnsi="Verdana" w:cs="Times New Roman"/>
                <w:color w:val="000000"/>
                <w:sz w:val="15"/>
                <w:szCs w:val="15"/>
              </w:rPr>
              <w:t>)</w:t>
            </w:r>
            <w:r w:rsidR="00123CD2">
              <w:rPr>
                <w:rFonts w:ascii="Verdana" w:eastAsia="Times New Roman" w:hAnsi="Verdana" w:cs="Times New Roman"/>
                <w:color w:val="000000"/>
                <w:sz w:val="15"/>
                <w:szCs w:val="15"/>
              </w:rPr>
              <w:t xml:space="preserve"> a wide range of data sources have been introduced</w:t>
            </w:r>
            <w:r w:rsidR="00601B4F">
              <w:rPr>
                <w:rFonts w:ascii="Verdana" w:eastAsia="Times New Roman" w:hAnsi="Verdana" w:cs="Times New Roman"/>
                <w:color w:val="000000"/>
                <w:sz w:val="15"/>
                <w:szCs w:val="15"/>
              </w:rPr>
              <w:t>. International investment</w:t>
            </w:r>
            <w:r w:rsidRPr="00D72C32">
              <w:rPr>
                <w:rFonts w:ascii="Verdana" w:eastAsia="Times New Roman" w:hAnsi="Verdana" w:cs="Times New Roman"/>
                <w:color w:val="000000"/>
                <w:sz w:val="15"/>
                <w:szCs w:val="15"/>
              </w:rPr>
              <w:t xml:space="preserve"> data </w:t>
            </w:r>
            <w:r w:rsidR="00123CD2">
              <w:rPr>
                <w:rFonts w:ascii="Verdana" w:eastAsia="Times New Roman" w:hAnsi="Verdana" w:cs="Times New Roman"/>
                <w:color w:val="000000"/>
                <w:sz w:val="15"/>
                <w:szCs w:val="15"/>
              </w:rPr>
              <w:t xml:space="preserve">is </w:t>
            </w:r>
            <w:r w:rsidRPr="00D72C32">
              <w:rPr>
                <w:rFonts w:ascii="Verdana" w:eastAsia="Times New Roman" w:hAnsi="Verdana" w:cs="Times New Roman"/>
                <w:color w:val="000000"/>
                <w:sz w:val="15"/>
                <w:szCs w:val="15"/>
              </w:rPr>
              <w:t xml:space="preserve">sourced from the </w:t>
            </w:r>
            <w:r w:rsidR="00123CD2">
              <w:rPr>
                <w:rFonts w:ascii="Verdana" w:eastAsia="Times New Roman" w:hAnsi="Verdana" w:cs="Times New Roman"/>
                <w:color w:val="000000"/>
                <w:sz w:val="15"/>
                <w:szCs w:val="15"/>
              </w:rPr>
              <w:t xml:space="preserve">quarterly enterprise surveys, </w:t>
            </w:r>
            <w:r w:rsidRPr="00D72C32">
              <w:rPr>
                <w:rFonts w:ascii="Verdana" w:eastAsia="Times New Roman" w:hAnsi="Verdana" w:cs="Times New Roman"/>
                <w:color w:val="000000"/>
                <w:sz w:val="15"/>
                <w:szCs w:val="15"/>
              </w:rPr>
              <w:t>admin records within the Bank</w:t>
            </w:r>
            <w:r w:rsidR="000D4FB4">
              <w:rPr>
                <w:rFonts w:ascii="Verdana" w:eastAsia="Times New Roman" w:hAnsi="Verdana" w:cs="Times New Roman"/>
                <w:color w:val="000000"/>
                <w:sz w:val="15"/>
                <w:szCs w:val="15"/>
              </w:rPr>
              <w:t xml:space="preserve"> such as those from the</w:t>
            </w:r>
            <w:r w:rsidR="00123CD2">
              <w:rPr>
                <w:rFonts w:ascii="Verdana" w:eastAsia="Times New Roman" w:hAnsi="Verdana" w:cs="Times New Roman"/>
                <w:color w:val="000000"/>
                <w:sz w:val="15"/>
                <w:szCs w:val="15"/>
              </w:rPr>
              <w:t xml:space="preserve"> </w:t>
            </w:r>
            <w:r w:rsidR="000D4FB4">
              <w:rPr>
                <w:rFonts w:ascii="Verdana" w:eastAsia="Times New Roman" w:hAnsi="Verdana" w:cs="Times New Roman"/>
                <w:color w:val="000000"/>
                <w:sz w:val="15"/>
                <w:szCs w:val="15"/>
              </w:rPr>
              <w:t>Monetary and Financial Statistics</w:t>
            </w:r>
            <w:r w:rsidR="000D4FB4">
              <w:rPr>
                <w:rFonts w:ascii="Verdana" w:eastAsia="Times New Roman" w:hAnsi="Verdana" w:cs="Times New Roman"/>
                <w:color w:val="000000"/>
                <w:sz w:val="15"/>
                <w:szCs w:val="15"/>
              </w:rPr>
              <w:t>,</w:t>
            </w:r>
            <w:r w:rsidR="000D4FB4">
              <w:rPr>
                <w:rFonts w:ascii="Verdana" w:eastAsia="Times New Roman" w:hAnsi="Verdana" w:cs="Times New Roman"/>
                <w:color w:val="000000"/>
                <w:sz w:val="15"/>
                <w:szCs w:val="15"/>
              </w:rPr>
              <w:t xml:space="preserve"> Public Finance</w:t>
            </w:r>
            <w:r w:rsidR="000D4FB4">
              <w:rPr>
                <w:rFonts w:ascii="Verdana" w:eastAsia="Times New Roman" w:hAnsi="Verdana" w:cs="Times New Roman"/>
                <w:color w:val="000000"/>
                <w:sz w:val="15"/>
                <w:szCs w:val="15"/>
              </w:rPr>
              <w:t xml:space="preserve">, Financial Markets. Data is also supplemented using the IMF’s </w:t>
            </w:r>
            <w:r w:rsidR="000D4FB4">
              <w:rPr>
                <w:rFonts w:ascii="Verdana" w:eastAsia="Times New Roman" w:hAnsi="Verdana" w:cs="Times New Roman"/>
                <w:color w:val="000000"/>
                <w:sz w:val="15"/>
                <w:szCs w:val="15"/>
              </w:rPr>
              <w:t>and</w:t>
            </w:r>
            <w:r w:rsidR="000D4FB4" w:rsidRPr="00D72C32">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Coord</w:t>
            </w:r>
            <w:r w:rsidR="00D914A9">
              <w:rPr>
                <w:rFonts w:ascii="Verdana" w:eastAsia="Times New Roman" w:hAnsi="Verdana" w:cs="Times New Roman"/>
                <w:color w:val="000000"/>
                <w:sz w:val="15"/>
                <w:szCs w:val="15"/>
              </w:rPr>
              <w:t xml:space="preserve">inated Direct Investment Survey </w:t>
            </w:r>
            <w:r w:rsidRPr="00D72C32">
              <w:rPr>
                <w:rFonts w:ascii="Verdana" w:eastAsia="Times New Roman" w:hAnsi="Verdana" w:cs="Times New Roman"/>
                <w:color w:val="000000"/>
                <w:sz w:val="15"/>
                <w:szCs w:val="15"/>
              </w:rPr>
              <w:t>(CDIS)</w:t>
            </w:r>
            <w:r w:rsidR="000D4FB4">
              <w:rPr>
                <w:rFonts w:ascii="Verdana" w:eastAsia="Times New Roman" w:hAnsi="Verdana" w:cs="Times New Roman"/>
                <w:color w:val="000000"/>
                <w:sz w:val="15"/>
                <w:szCs w:val="15"/>
              </w:rPr>
              <w:t xml:space="preserve"> and the</w:t>
            </w:r>
            <w:r w:rsidR="00123CD2">
              <w:rPr>
                <w:rFonts w:ascii="Verdana" w:eastAsia="Times New Roman" w:hAnsi="Verdana" w:cs="Times New Roman"/>
                <w:color w:val="000000"/>
                <w:sz w:val="15"/>
                <w:szCs w:val="15"/>
              </w:rPr>
              <w:t xml:space="preserve"> B</w:t>
            </w:r>
            <w:r w:rsidR="000D4FB4">
              <w:rPr>
                <w:rFonts w:ascii="Verdana" w:eastAsia="Times New Roman" w:hAnsi="Verdana" w:cs="Times New Roman"/>
                <w:color w:val="000000"/>
                <w:sz w:val="15"/>
                <w:szCs w:val="15"/>
              </w:rPr>
              <w:t xml:space="preserve">ank of </w:t>
            </w:r>
            <w:r w:rsidR="00123CD2">
              <w:rPr>
                <w:rFonts w:ascii="Verdana" w:eastAsia="Times New Roman" w:hAnsi="Verdana" w:cs="Times New Roman"/>
                <w:color w:val="000000"/>
                <w:sz w:val="15"/>
                <w:szCs w:val="15"/>
              </w:rPr>
              <w:t>I</w:t>
            </w:r>
            <w:r w:rsidR="000D4FB4">
              <w:rPr>
                <w:rFonts w:ascii="Verdana" w:eastAsia="Times New Roman" w:hAnsi="Verdana" w:cs="Times New Roman"/>
                <w:color w:val="000000"/>
                <w:sz w:val="15"/>
                <w:szCs w:val="15"/>
              </w:rPr>
              <w:t xml:space="preserve">nternational </w:t>
            </w:r>
            <w:r w:rsidR="00123CD2">
              <w:rPr>
                <w:rFonts w:ascii="Verdana" w:eastAsia="Times New Roman" w:hAnsi="Verdana" w:cs="Times New Roman"/>
                <w:color w:val="000000"/>
                <w:sz w:val="15"/>
                <w:szCs w:val="15"/>
              </w:rPr>
              <w:t>S</w:t>
            </w:r>
            <w:r w:rsidR="000D4FB4">
              <w:rPr>
                <w:rFonts w:ascii="Verdana" w:eastAsia="Times New Roman" w:hAnsi="Verdana" w:cs="Times New Roman"/>
                <w:color w:val="000000"/>
                <w:sz w:val="15"/>
                <w:szCs w:val="15"/>
              </w:rPr>
              <w:t>ettlements</w:t>
            </w:r>
            <w:r w:rsidR="00D914A9">
              <w:rPr>
                <w:rFonts w:ascii="Verdana" w:eastAsia="Times New Roman" w:hAnsi="Verdana" w:cs="Times New Roman"/>
                <w:color w:val="000000"/>
                <w:sz w:val="15"/>
                <w:szCs w:val="15"/>
              </w:rPr>
              <w:t>(BIS)</w:t>
            </w:r>
            <w:r w:rsidRPr="00D72C32">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8" w:name="3212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Exceptions to coverage</w:t>
            </w:r>
          </w:p>
          <w:bookmarkEnd w:id="18"/>
          <w:p w:rsidR="00D72C32" w:rsidRPr="00D72C32" w:rsidRDefault="00D72C32" w:rsidP="00123CD2">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on Financial deri</w:t>
            </w:r>
            <w:r w:rsidR="00123CD2">
              <w:rPr>
                <w:rFonts w:ascii="Verdana" w:eastAsia="Times New Roman" w:hAnsi="Verdana" w:cs="Times New Roman"/>
                <w:color w:val="000000"/>
                <w:sz w:val="15"/>
                <w:szCs w:val="15"/>
              </w:rPr>
              <w:t>vatives are</w:t>
            </w:r>
            <w:r w:rsidRPr="00D72C32">
              <w:rPr>
                <w:rFonts w:ascii="Verdana" w:eastAsia="Times New Roman" w:hAnsi="Verdana" w:cs="Times New Roman"/>
                <w:color w:val="000000"/>
                <w:sz w:val="15"/>
                <w:szCs w:val="15"/>
              </w:rPr>
              <w:t xml:space="preserve"> reflected</w:t>
            </w:r>
            <w:r w:rsidR="00123CD2">
              <w:rPr>
                <w:rFonts w:ascii="Verdana" w:eastAsia="Times New Roman" w:hAnsi="Verdana" w:cs="Times New Roman"/>
                <w:color w:val="000000"/>
                <w:sz w:val="15"/>
                <w:szCs w:val="15"/>
              </w:rPr>
              <w:t xml:space="preserve"> separately as a new functional category</w:t>
            </w:r>
            <w:r w:rsidRPr="00D72C32">
              <w:rPr>
                <w:rFonts w:ascii="Verdana" w:eastAsia="Times New Roman" w:hAnsi="Verdana" w:cs="Times New Roman"/>
                <w:color w:val="000000"/>
                <w:sz w:val="15"/>
                <w:szCs w:val="15"/>
              </w:rPr>
              <w:t xml:space="preserve"> in the new framework on BPM6. While portfolio investment of non-residents in the Namibian economy is </w:t>
            </w:r>
            <w:r w:rsidR="00C64B25">
              <w:rPr>
                <w:rFonts w:ascii="Verdana" w:eastAsia="Times New Roman" w:hAnsi="Verdana" w:cs="Times New Roman"/>
                <w:color w:val="000000"/>
                <w:sz w:val="15"/>
                <w:szCs w:val="15"/>
              </w:rPr>
              <w:t>sourced from the enterprise survey and Public Finance Statistics</w:t>
            </w:r>
            <w:r w:rsidRPr="00D72C32">
              <w:rPr>
                <w:rFonts w:ascii="Verdana" w:eastAsia="Times New Roman" w:hAnsi="Verdana" w:cs="Times New Roman"/>
                <w:color w:val="000000"/>
                <w:sz w:val="15"/>
                <w:szCs w:val="15"/>
              </w:rPr>
              <w:t>.</w:t>
            </w:r>
          </w:p>
          <w:p w:rsidR="00D72C32" w:rsidRPr="00D72C32" w:rsidRDefault="00D72C32" w:rsidP="009E55F4">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on other capital between related financial corporations, mostly banks are excluded from foreign direct investment and included in other investment</w:t>
            </w:r>
            <w:r w:rsidR="00123CD2">
              <w:rPr>
                <w:rFonts w:ascii="Verdana" w:eastAsia="Times New Roman" w:hAnsi="Verdana" w:cs="Times New Roman"/>
                <w:color w:val="000000"/>
                <w:sz w:val="15"/>
                <w:szCs w:val="15"/>
              </w:rPr>
              <w:t xml:space="preserve"> as per BPM6 </w:t>
            </w:r>
            <w:r w:rsidR="00726C00">
              <w:rPr>
                <w:rFonts w:ascii="Verdana" w:eastAsia="Times New Roman" w:hAnsi="Verdana" w:cs="Times New Roman"/>
                <w:color w:val="000000"/>
                <w:sz w:val="15"/>
                <w:szCs w:val="15"/>
              </w:rPr>
              <w:t>principles</w:t>
            </w:r>
            <w:r w:rsidRPr="00D72C32">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19" w:name="3213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lastRenderedPageBreak/>
              <w:t>Unrecorded activity</w:t>
            </w:r>
          </w:p>
          <w:bookmarkEnd w:id="19"/>
          <w:p w:rsidR="009E55F4" w:rsidRPr="00D72C32" w:rsidRDefault="009E55F4" w:rsidP="005B7F3F">
            <w:pPr>
              <w:spacing w:before="100" w:beforeAutospacing="1" w:after="100" w:afterAutospacing="1"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 xml:space="preserve">2.3 </w:t>
            </w:r>
            <w:r w:rsidR="00CE308D">
              <w:rPr>
                <w:rFonts w:ascii="Verdana" w:eastAsia="Times New Roman" w:hAnsi="Verdana" w:cs="Times New Roman"/>
                <w:b/>
                <w:bCs/>
                <w:color w:val="0000FF"/>
                <w:sz w:val="15"/>
                <w:szCs w:val="15"/>
              </w:rPr>
              <w:t>Classification/sectoris</w:t>
            </w:r>
            <w:r w:rsidRPr="00D72C32">
              <w:rPr>
                <w:rFonts w:ascii="Verdana" w:eastAsia="Times New Roman" w:hAnsi="Verdana" w:cs="Times New Roman"/>
                <w:b/>
                <w:bCs/>
                <w:color w:val="0000FF"/>
                <w:sz w:val="15"/>
                <w:szCs w:val="15"/>
              </w:rPr>
              <w:t>ation</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082B24" w:rsidP="00D72C32">
            <w:pPr>
              <w:shd w:val="clear" w:color="auto" w:fill="E3E4FA"/>
              <w:spacing w:after="0" w:line="240" w:lineRule="auto"/>
              <w:rPr>
                <w:rFonts w:ascii="Verdana" w:eastAsia="Times New Roman" w:hAnsi="Verdana" w:cs="Times New Roman"/>
                <w:b/>
                <w:bCs/>
                <w:color w:val="0000FF"/>
                <w:sz w:val="15"/>
                <w:szCs w:val="15"/>
              </w:rPr>
            </w:pPr>
            <w:bookmarkStart w:id="20" w:name="331000"/>
            <w:r>
              <w:rPr>
                <w:rFonts w:ascii="Verdana" w:eastAsia="Times New Roman" w:hAnsi="Verdana" w:cs="Times New Roman"/>
                <w:b/>
                <w:bCs/>
                <w:color w:val="0000FF"/>
                <w:sz w:val="15"/>
                <w:szCs w:val="15"/>
              </w:rPr>
              <w:t>2.3.1 Classification/S</w:t>
            </w:r>
            <w:r w:rsidR="00CE308D">
              <w:rPr>
                <w:rFonts w:ascii="Verdana" w:eastAsia="Times New Roman" w:hAnsi="Verdana" w:cs="Times New Roman"/>
                <w:b/>
                <w:bCs/>
                <w:color w:val="0000FF"/>
                <w:sz w:val="15"/>
                <w:szCs w:val="15"/>
              </w:rPr>
              <w:t>ectoris</w:t>
            </w:r>
            <w:r w:rsidR="00D72C32" w:rsidRPr="00D72C32">
              <w:rPr>
                <w:rFonts w:ascii="Verdana" w:eastAsia="Times New Roman" w:hAnsi="Verdana" w:cs="Times New Roman"/>
                <w:b/>
                <w:bCs/>
                <w:color w:val="0000FF"/>
                <w:sz w:val="15"/>
                <w:szCs w:val="15"/>
              </w:rPr>
              <w:t>ation</w:t>
            </w:r>
          </w:p>
          <w:bookmarkEnd w:id="2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u w:val="single"/>
              </w:rPr>
              <w:t>International Investment Position (IIP)</w:t>
            </w:r>
            <w:r w:rsidRPr="00D72C32">
              <w:rPr>
                <w:rFonts w:ascii="Verdana" w:eastAsia="Times New Roman" w:hAnsi="Verdana" w:cs="Times New Roman"/>
                <w:color w:val="000000"/>
                <w:sz w:val="15"/>
                <w:szCs w:val="15"/>
                <w:u w:val="single"/>
              </w:rPr>
              <w:br/>
            </w:r>
            <w:r w:rsidRPr="00D72C32">
              <w:rPr>
                <w:rFonts w:ascii="Verdana" w:eastAsia="Times New Roman" w:hAnsi="Verdana" w:cs="Times New Roman"/>
                <w:color w:val="000000"/>
                <w:sz w:val="15"/>
                <w:szCs w:val="15"/>
              </w:rPr>
              <w:t>The IIP is compiled from the received survey data and published together with the BOP on a quarterly and annual basis. Included are stock positions of direct i</w:t>
            </w:r>
            <w:r w:rsidR="005B7F3F">
              <w:rPr>
                <w:rFonts w:ascii="Verdana" w:eastAsia="Times New Roman" w:hAnsi="Verdana" w:cs="Times New Roman"/>
                <w:color w:val="000000"/>
                <w:sz w:val="15"/>
                <w:szCs w:val="15"/>
              </w:rPr>
              <w:t xml:space="preserve">nvestment, portfolio investment, financial derivatives, </w:t>
            </w:r>
            <w:r w:rsidRPr="00D72C32">
              <w:rPr>
                <w:rFonts w:ascii="Verdana" w:eastAsia="Times New Roman" w:hAnsi="Verdana" w:cs="Times New Roman"/>
                <w:color w:val="000000"/>
                <w:sz w:val="15"/>
                <w:szCs w:val="15"/>
              </w:rPr>
              <w:t>other investment</w:t>
            </w:r>
            <w:r w:rsidR="005B7F3F">
              <w:rPr>
                <w:rFonts w:ascii="Verdana" w:eastAsia="Times New Roman" w:hAnsi="Verdana" w:cs="Times New Roman"/>
                <w:color w:val="000000"/>
                <w:sz w:val="15"/>
                <w:szCs w:val="15"/>
              </w:rPr>
              <w:t xml:space="preserve"> and</w:t>
            </w:r>
            <w:r w:rsidR="005B7F3F" w:rsidRPr="00D72C32">
              <w:rPr>
                <w:rFonts w:ascii="Verdana" w:eastAsia="Times New Roman" w:hAnsi="Verdana" w:cs="Times New Roman"/>
                <w:color w:val="000000"/>
                <w:sz w:val="15"/>
                <w:szCs w:val="15"/>
              </w:rPr>
              <w:t xml:space="preserve"> </w:t>
            </w:r>
            <w:r w:rsidR="005B7F3F" w:rsidRPr="00D72C32">
              <w:rPr>
                <w:rFonts w:ascii="Verdana" w:eastAsia="Times New Roman" w:hAnsi="Verdana" w:cs="Times New Roman"/>
                <w:color w:val="000000"/>
                <w:sz w:val="15"/>
                <w:szCs w:val="15"/>
              </w:rPr>
              <w:t xml:space="preserve">reserve </w:t>
            </w:r>
            <w:r w:rsidR="005B7F3F">
              <w:rPr>
                <w:rFonts w:ascii="Verdana" w:eastAsia="Times New Roman" w:hAnsi="Verdana" w:cs="Times New Roman"/>
                <w:color w:val="000000"/>
                <w:sz w:val="15"/>
                <w:szCs w:val="15"/>
              </w:rPr>
              <w:t>assets.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2.4 Basis for recording</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1" w:name="341000"/>
            <w:r w:rsidRPr="00D72C32">
              <w:rPr>
                <w:rFonts w:ascii="Verdana" w:eastAsia="Times New Roman" w:hAnsi="Verdana" w:cs="Times New Roman"/>
                <w:b/>
                <w:bCs/>
                <w:color w:val="0000FF"/>
                <w:sz w:val="15"/>
                <w:szCs w:val="15"/>
              </w:rPr>
              <w:t>2.4.1 Valuation</w:t>
            </w:r>
          </w:p>
          <w:bookmarkEnd w:id="2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The data on </w:t>
            </w:r>
            <w:r w:rsidR="000D5A64">
              <w:rPr>
                <w:rFonts w:ascii="Verdana" w:eastAsia="Times New Roman" w:hAnsi="Verdana" w:cs="Times New Roman"/>
                <w:color w:val="000000"/>
                <w:sz w:val="15"/>
                <w:szCs w:val="15"/>
              </w:rPr>
              <w:t>the IIP</w:t>
            </w:r>
            <w:r w:rsidRPr="00D72C32">
              <w:rPr>
                <w:rFonts w:ascii="Verdana" w:eastAsia="Times New Roman" w:hAnsi="Verdana" w:cs="Times New Roman"/>
                <w:color w:val="000000"/>
                <w:sz w:val="15"/>
                <w:szCs w:val="15"/>
              </w:rPr>
              <w:t xml:space="preserve"> are mainly collected in Namibia dollars. However, in cases where data are reported in US dollars, these are converted to Namibia dollars by using </w:t>
            </w:r>
            <w:r w:rsidR="000D5A64">
              <w:rPr>
                <w:rFonts w:ascii="Verdana" w:eastAsia="Times New Roman" w:hAnsi="Verdana" w:cs="Times New Roman"/>
                <w:color w:val="000000"/>
                <w:sz w:val="15"/>
                <w:szCs w:val="15"/>
              </w:rPr>
              <w:t xml:space="preserve">the end of period </w:t>
            </w:r>
            <w:r w:rsidRPr="00D72C32">
              <w:rPr>
                <w:rFonts w:ascii="Verdana" w:eastAsia="Times New Roman" w:hAnsi="Verdana" w:cs="Times New Roman"/>
                <w:color w:val="000000"/>
                <w:sz w:val="15"/>
                <w:szCs w:val="15"/>
              </w:rPr>
              <w:t>exchange rates of the conc</w:t>
            </w:r>
            <w:r w:rsidR="004E3F86">
              <w:rPr>
                <w:rFonts w:ascii="Verdana" w:eastAsia="Times New Roman" w:hAnsi="Verdana" w:cs="Times New Roman"/>
                <w:color w:val="000000"/>
                <w:sz w:val="15"/>
                <w:szCs w:val="15"/>
              </w:rPr>
              <w:t xml:space="preserve">erned months in that quarter or </w:t>
            </w:r>
            <w:r w:rsidRPr="00D72C32">
              <w:rPr>
                <w:rFonts w:ascii="Verdana" w:eastAsia="Times New Roman" w:hAnsi="Verdana" w:cs="Times New Roman"/>
                <w:color w:val="000000"/>
                <w:sz w:val="15"/>
                <w:szCs w:val="15"/>
              </w:rPr>
              <w:t>year. </w:t>
            </w: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2" w:name="34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2.4.2 Recording basis</w:t>
            </w:r>
          </w:p>
          <w:bookmarkEnd w:id="2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Default="004F2B74" w:rsidP="00D72C32">
            <w:pPr>
              <w:numPr>
                <w:ilvl w:val="1"/>
                <w:numId w:val="1"/>
              </w:numPr>
              <w:spacing w:after="0" w:line="240" w:lineRule="auto"/>
              <w:ind w:left="1200" w:right="600"/>
              <w:rPr>
                <w:rFonts w:ascii="Verdana" w:eastAsia="Times New Roman" w:hAnsi="Verdana" w:cs="Times New Roman"/>
                <w:color w:val="000000"/>
                <w:sz w:val="15"/>
                <w:szCs w:val="15"/>
              </w:rPr>
            </w:pPr>
            <w:r>
              <w:rPr>
                <w:rFonts w:ascii="Verdana" w:eastAsia="Times New Roman" w:hAnsi="Verdana" w:cs="Times New Roman"/>
                <w:color w:val="000000"/>
                <w:sz w:val="15"/>
                <w:szCs w:val="15"/>
              </w:rPr>
              <w:t>Net Market value</w:t>
            </w:r>
          </w:p>
          <w:p w:rsidR="004F2B74" w:rsidRPr="00D72C32" w:rsidRDefault="004F2B74" w:rsidP="00D72C32">
            <w:pPr>
              <w:numPr>
                <w:ilvl w:val="1"/>
                <w:numId w:val="1"/>
              </w:numPr>
              <w:spacing w:after="0" w:line="240" w:lineRule="auto"/>
              <w:ind w:left="1200" w:right="600"/>
              <w:rPr>
                <w:rFonts w:ascii="Verdana" w:eastAsia="Times New Roman" w:hAnsi="Verdana" w:cs="Times New Roman"/>
                <w:color w:val="000000"/>
                <w:sz w:val="15"/>
                <w:szCs w:val="15"/>
              </w:rPr>
            </w:pPr>
            <w:r>
              <w:rPr>
                <w:rFonts w:ascii="Verdana" w:eastAsia="Times New Roman" w:hAnsi="Verdana" w:cs="Times New Roman"/>
                <w:color w:val="000000"/>
                <w:sz w:val="15"/>
                <w:szCs w:val="15"/>
              </w:rPr>
              <w:t>Net Book value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3" w:name="34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2.4.3 Grossing/netting procedures</w:t>
            </w:r>
          </w:p>
          <w:bookmarkEnd w:id="2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is recorded on gross basis.</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15"/>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3. Accuracy and reliability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24" w:name="400000" w:colFirst="0" w:colLast="0"/>
            <w:r w:rsidRPr="00D72C32">
              <w:rPr>
                <w:rFonts w:ascii="Verdana" w:eastAsia="Times New Roman" w:hAnsi="Verdana" w:cs="Times New Roman"/>
                <w:b/>
                <w:bCs/>
                <w:color w:val="0000FF"/>
                <w:sz w:val="15"/>
                <w:szCs w:val="15"/>
              </w:rPr>
              <w:t>3.1 Source 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752BB0" w:rsidRDefault="00D72C32" w:rsidP="00D72C32">
            <w:pPr>
              <w:shd w:val="clear" w:color="auto" w:fill="E3E4FA"/>
              <w:spacing w:after="0" w:line="240" w:lineRule="auto"/>
              <w:rPr>
                <w:rFonts w:ascii="Verdana" w:eastAsia="Times New Roman" w:hAnsi="Verdana" w:cs="Times New Roman"/>
                <w:color w:val="000000"/>
                <w:sz w:val="15"/>
                <w:szCs w:val="15"/>
              </w:rPr>
            </w:pPr>
            <w:bookmarkStart w:id="25" w:name="411000"/>
            <w:r w:rsidRPr="00752BB0">
              <w:rPr>
                <w:rFonts w:ascii="Verdana" w:eastAsia="Times New Roman" w:hAnsi="Verdana" w:cs="Times New Roman"/>
                <w:color w:val="000000"/>
                <w:sz w:val="15"/>
                <w:szCs w:val="15"/>
              </w:rPr>
              <w:t>3.1.1 Source data collection programs</w:t>
            </w:r>
          </w:p>
          <w:bookmarkEnd w:id="25"/>
          <w:p w:rsidR="00D72C32" w:rsidRPr="00D72C32" w:rsidRDefault="00D72C32" w:rsidP="00D72C32">
            <w:pPr>
              <w:spacing w:after="0" w:line="240" w:lineRule="auto"/>
              <w:rPr>
                <w:rFonts w:ascii="Verdana" w:eastAsia="Times New Roman" w:hAnsi="Verdana" w:cs="Times New Roman"/>
                <w:color w:val="000000"/>
                <w:sz w:val="15"/>
                <w:szCs w:val="15"/>
              </w:rPr>
            </w:pPr>
          </w:p>
          <w:p w:rsidR="00752BB0" w:rsidRPr="00752BB0" w:rsidRDefault="00574580" w:rsidP="00752BB0">
            <w:pPr>
              <w:rPr>
                <w:rFonts w:ascii="Verdana" w:eastAsia="Times New Roman" w:hAnsi="Verdana" w:cs="Times New Roman"/>
                <w:color w:val="000000"/>
                <w:sz w:val="15"/>
                <w:szCs w:val="15"/>
              </w:rPr>
            </w:pPr>
            <w:r w:rsidRPr="00752BB0">
              <w:rPr>
                <w:rFonts w:ascii="Verdana" w:eastAsia="Times New Roman" w:hAnsi="Verdana" w:cs="Times New Roman"/>
                <w:color w:val="000000"/>
                <w:sz w:val="15"/>
                <w:szCs w:val="15"/>
              </w:rPr>
              <w:t xml:space="preserve">Same sources as the Financial Account but takes into consideration the stock for the </w:t>
            </w:r>
            <w:r w:rsidR="003266AF" w:rsidRPr="00752BB0">
              <w:rPr>
                <w:rFonts w:ascii="Verdana" w:eastAsia="Times New Roman" w:hAnsi="Verdana" w:cs="Times New Roman"/>
                <w:color w:val="000000"/>
                <w:sz w:val="15"/>
                <w:szCs w:val="15"/>
              </w:rPr>
              <w:t>IIP:</w:t>
            </w:r>
            <w:r w:rsidR="00D72C32" w:rsidRPr="00752BB0">
              <w:rPr>
                <w:rFonts w:ascii="Verdana" w:eastAsia="Times New Roman" w:hAnsi="Verdana" w:cs="Times New Roman"/>
                <w:color w:val="000000"/>
                <w:sz w:val="15"/>
                <w:szCs w:val="15"/>
              </w:rPr>
              <w:br/>
            </w:r>
            <w:r w:rsidR="00D72C32" w:rsidRPr="00D72C32">
              <w:rPr>
                <w:rFonts w:ascii="Verdana" w:eastAsia="Times New Roman" w:hAnsi="Verdana" w:cs="Times New Roman"/>
                <w:color w:val="000000"/>
                <w:sz w:val="15"/>
                <w:szCs w:val="15"/>
              </w:rPr>
              <w:t>Direct investment in Namibia and abroad are obtained from surveys on foreign direct investment entities</w:t>
            </w:r>
            <w:r w:rsidR="00DD1D8B">
              <w:rPr>
                <w:rFonts w:ascii="Verdana" w:eastAsia="Times New Roman" w:hAnsi="Verdana" w:cs="Times New Roman"/>
                <w:color w:val="000000"/>
                <w:sz w:val="15"/>
                <w:szCs w:val="15"/>
              </w:rPr>
              <w:t xml:space="preserve"> and CDIS data from the IMF website</w:t>
            </w:r>
            <w:r w:rsidR="00D72C32" w:rsidRPr="00D72C32">
              <w:rPr>
                <w:rFonts w:ascii="Verdana" w:eastAsia="Times New Roman" w:hAnsi="Verdana" w:cs="Times New Roman"/>
                <w:color w:val="000000"/>
                <w:sz w:val="15"/>
                <w:szCs w:val="15"/>
              </w:rPr>
              <w:t xml:space="preserve">. The survey collects levels of foreign assets and liabilities at the beginning and end of each quarter, </w:t>
            </w:r>
            <w:r w:rsidR="00752BB0">
              <w:rPr>
                <w:rFonts w:ascii="Verdana" w:eastAsia="Times New Roman" w:hAnsi="Verdana" w:cs="Times New Roman"/>
                <w:color w:val="000000"/>
                <w:sz w:val="15"/>
                <w:szCs w:val="15"/>
              </w:rPr>
              <w:t>as well as</w:t>
            </w:r>
            <w:r w:rsidR="00D72C32" w:rsidRPr="00D72C32">
              <w:rPr>
                <w:rFonts w:ascii="Verdana" w:eastAsia="Times New Roman" w:hAnsi="Verdana" w:cs="Times New Roman"/>
                <w:color w:val="000000"/>
                <w:sz w:val="15"/>
                <w:szCs w:val="15"/>
              </w:rPr>
              <w:t xml:space="preserve"> information for equity</w:t>
            </w:r>
            <w:r w:rsidR="00752BB0">
              <w:rPr>
                <w:rFonts w:ascii="Verdana" w:eastAsia="Times New Roman" w:hAnsi="Verdana" w:cs="Times New Roman"/>
                <w:color w:val="000000"/>
                <w:sz w:val="15"/>
                <w:szCs w:val="15"/>
              </w:rPr>
              <w:t xml:space="preserve"> and investment fund shares</w:t>
            </w:r>
            <w:r w:rsidR="00D72C32" w:rsidRPr="00D72C32">
              <w:rPr>
                <w:rFonts w:ascii="Verdana" w:eastAsia="Times New Roman" w:hAnsi="Verdana" w:cs="Times New Roman"/>
                <w:color w:val="000000"/>
                <w:sz w:val="15"/>
                <w:szCs w:val="15"/>
              </w:rPr>
              <w:t>, re</w:t>
            </w:r>
            <w:r w:rsidR="00752BB0">
              <w:rPr>
                <w:rFonts w:ascii="Verdana" w:eastAsia="Times New Roman" w:hAnsi="Verdana" w:cs="Times New Roman"/>
                <w:color w:val="000000"/>
                <w:sz w:val="15"/>
                <w:szCs w:val="15"/>
              </w:rPr>
              <w:t xml:space="preserve">investment of </w:t>
            </w:r>
            <w:r w:rsidR="00D72C32" w:rsidRPr="00D72C32">
              <w:rPr>
                <w:rFonts w:ascii="Verdana" w:eastAsia="Times New Roman" w:hAnsi="Verdana" w:cs="Times New Roman"/>
                <w:color w:val="000000"/>
                <w:sz w:val="15"/>
                <w:szCs w:val="15"/>
              </w:rPr>
              <w:t xml:space="preserve">earnings and </w:t>
            </w:r>
            <w:r w:rsidR="00752BB0">
              <w:rPr>
                <w:rFonts w:ascii="Verdana" w:eastAsia="Times New Roman" w:hAnsi="Verdana" w:cs="Times New Roman"/>
                <w:color w:val="000000"/>
                <w:sz w:val="15"/>
                <w:szCs w:val="15"/>
              </w:rPr>
              <w:t>debt instruments</w:t>
            </w:r>
            <w:r w:rsidR="00D72C32" w:rsidRPr="00D72C32">
              <w:rPr>
                <w:rFonts w:ascii="Verdana" w:eastAsia="Times New Roman" w:hAnsi="Verdana" w:cs="Times New Roman"/>
                <w:color w:val="000000"/>
                <w:sz w:val="15"/>
                <w:szCs w:val="15"/>
              </w:rPr>
              <w:br/>
            </w:r>
            <w:r w:rsidR="00D72C32" w:rsidRPr="00D72C32">
              <w:rPr>
                <w:rFonts w:ascii="Verdana" w:eastAsia="Times New Roman" w:hAnsi="Verdana" w:cs="Times New Roman"/>
                <w:color w:val="000000"/>
                <w:sz w:val="15"/>
                <w:szCs w:val="15"/>
              </w:rPr>
              <w:br/>
            </w:r>
            <w:r w:rsidR="00752BB0" w:rsidRPr="00752BB0">
              <w:rPr>
                <w:rFonts w:ascii="Verdana" w:eastAsia="Times New Roman" w:hAnsi="Verdana" w:cs="Times New Roman"/>
                <w:color w:val="000000"/>
                <w:sz w:val="15"/>
                <w:szCs w:val="15"/>
              </w:rPr>
              <w:t>Portfolio investment: data on Other sectors  is collected through the Bank of Namibia surveys targeted at Asset management companies while portfolio investment for the depository corporations is obtained from the  Bank of Namibia’s Monetary and Financial Statistics sub-division.</w:t>
            </w:r>
          </w:p>
          <w:p w:rsidR="00752BB0" w:rsidRPr="00752BB0" w:rsidRDefault="00752BB0" w:rsidP="00752BB0">
            <w:pPr>
              <w:spacing w:after="0" w:line="240" w:lineRule="auto"/>
              <w:rPr>
                <w:rFonts w:ascii="Verdana" w:eastAsia="Times New Roman" w:hAnsi="Verdana" w:cs="Times New Roman"/>
                <w:color w:val="000000"/>
                <w:sz w:val="15"/>
                <w:szCs w:val="15"/>
              </w:rPr>
            </w:pPr>
          </w:p>
          <w:p w:rsidR="00752BB0" w:rsidRPr="00752BB0" w:rsidRDefault="00752BB0" w:rsidP="00752BB0">
            <w:pPr>
              <w:spacing w:after="0" w:line="240" w:lineRule="auto"/>
              <w:rPr>
                <w:rFonts w:ascii="Verdana" w:eastAsia="Times New Roman" w:hAnsi="Verdana" w:cs="Times New Roman"/>
                <w:color w:val="000000"/>
                <w:sz w:val="15"/>
                <w:szCs w:val="15"/>
              </w:rPr>
            </w:pPr>
            <w:r w:rsidRPr="00752BB0">
              <w:rPr>
                <w:rFonts w:ascii="Verdana" w:eastAsia="Times New Roman" w:hAnsi="Verdana" w:cs="Times New Roman"/>
                <w:color w:val="000000"/>
                <w:sz w:val="15"/>
                <w:szCs w:val="15"/>
              </w:rPr>
              <w:t>-Financial derivatives: this data from the depository corporations is obtained from the Monetary and Financial Statistics sub-division.</w:t>
            </w:r>
          </w:p>
          <w:p w:rsidR="00752BB0" w:rsidRPr="00752BB0" w:rsidRDefault="00752BB0" w:rsidP="00752BB0">
            <w:pPr>
              <w:spacing w:after="0" w:line="240" w:lineRule="auto"/>
              <w:rPr>
                <w:rFonts w:ascii="Verdana" w:eastAsia="Times New Roman" w:hAnsi="Verdana" w:cs="Times New Roman"/>
                <w:color w:val="000000"/>
                <w:sz w:val="15"/>
                <w:szCs w:val="15"/>
              </w:rPr>
            </w:pPr>
            <w:r w:rsidRPr="00752BB0">
              <w:rPr>
                <w:rFonts w:ascii="Verdana" w:eastAsia="Times New Roman" w:hAnsi="Verdana" w:cs="Times New Roman"/>
                <w:color w:val="000000"/>
                <w:sz w:val="15"/>
                <w:szCs w:val="15"/>
              </w:rPr>
              <w:br/>
              <w:t>-Other investment: data is collected through the Bank of Namibia surveys for Other sectors, depository corporations and data on the government finances from the Bank of Namibia’s Public Finance sub-division.</w:t>
            </w:r>
          </w:p>
          <w:p w:rsidR="00D72C32" w:rsidRPr="00D72C32" w:rsidRDefault="00752BB0" w:rsidP="00752BB0">
            <w:pPr>
              <w:spacing w:beforeAutospacing="1" w:after="0" w:afterAutospacing="1" w:line="240" w:lineRule="auto"/>
              <w:rPr>
                <w:rFonts w:ascii="Verdana" w:eastAsia="Times New Roman" w:hAnsi="Verdana" w:cs="Times New Roman"/>
                <w:color w:val="000000"/>
                <w:sz w:val="15"/>
                <w:szCs w:val="15"/>
              </w:rPr>
            </w:pPr>
            <w:r w:rsidRPr="00752BB0">
              <w:rPr>
                <w:rFonts w:ascii="Verdana" w:eastAsia="Times New Roman" w:hAnsi="Verdana" w:cs="Times New Roman"/>
                <w:color w:val="000000"/>
                <w:sz w:val="15"/>
                <w:szCs w:val="15"/>
              </w:rPr>
              <w:br/>
              <w:t>-Reserve assets are obtained from the Financial markets department within the Bank of Namibia.</w:t>
            </w:r>
          </w:p>
          <w:p w:rsidR="00D72C32" w:rsidRPr="00752BB0" w:rsidRDefault="00D72C32" w:rsidP="00D72C32">
            <w:pPr>
              <w:spacing w:after="0" w:line="240" w:lineRule="auto"/>
              <w:rPr>
                <w:rFonts w:ascii="Verdana" w:eastAsia="Times New Roman" w:hAnsi="Verdana" w:cs="Times New Roman"/>
                <w:color w:val="000000"/>
                <w:sz w:val="15"/>
                <w:szCs w:val="15"/>
              </w:rPr>
            </w:pPr>
            <w:bookmarkStart w:id="26" w:name="412000"/>
          </w:p>
          <w:p w:rsidR="00D72C32" w:rsidRPr="00752BB0" w:rsidRDefault="00D72C32" w:rsidP="00D72C32">
            <w:pPr>
              <w:shd w:val="clear" w:color="auto" w:fill="E3E4FA"/>
              <w:spacing w:after="0" w:line="240" w:lineRule="auto"/>
              <w:rPr>
                <w:rFonts w:ascii="Verdana" w:eastAsia="Times New Roman" w:hAnsi="Verdana" w:cs="Times New Roman"/>
                <w:color w:val="000000"/>
                <w:sz w:val="15"/>
                <w:szCs w:val="15"/>
              </w:rPr>
            </w:pPr>
            <w:r w:rsidRPr="00752BB0">
              <w:rPr>
                <w:rFonts w:ascii="Verdana" w:eastAsia="Times New Roman" w:hAnsi="Verdana" w:cs="Times New Roman"/>
                <w:color w:val="000000"/>
                <w:sz w:val="15"/>
                <w:szCs w:val="15"/>
              </w:rPr>
              <w:t>3.1.2 Source data definitions, scope, classifications, valuation, and time of recording</w:t>
            </w:r>
          </w:p>
          <w:bookmarkEnd w:id="2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lastRenderedPageBreak/>
              <w:t xml:space="preserve">The </w:t>
            </w:r>
            <w:r w:rsidR="00752BB0">
              <w:rPr>
                <w:rFonts w:ascii="Verdana" w:eastAsia="Times New Roman" w:hAnsi="Verdana" w:cs="Times New Roman"/>
                <w:color w:val="000000"/>
                <w:sz w:val="15"/>
                <w:szCs w:val="15"/>
              </w:rPr>
              <w:t>IIP</w:t>
            </w:r>
            <w:r w:rsidRPr="00D72C32">
              <w:rPr>
                <w:rFonts w:ascii="Verdana" w:eastAsia="Times New Roman" w:hAnsi="Verdana" w:cs="Times New Roman"/>
                <w:color w:val="000000"/>
                <w:sz w:val="15"/>
                <w:szCs w:val="15"/>
              </w:rPr>
              <w:t xml:space="preserve"> data are broadly in line with the scope, classifications, valuation and time of recording required as per international practices.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3.2 Assessment of source 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7" w:name="421000"/>
            <w:r w:rsidRPr="00D72C32">
              <w:rPr>
                <w:rFonts w:ascii="Verdana" w:eastAsia="Times New Roman" w:hAnsi="Verdana" w:cs="Times New Roman"/>
                <w:b/>
                <w:bCs/>
                <w:color w:val="0000FF"/>
                <w:sz w:val="15"/>
                <w:szCs w:val="15"/>
              </w:rPr>
              <w:t>3.2.1 Source data assessment</w:t>
            </w:r>
          </w:p>
          <w:bookmarkEnd w:id="2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3304CD" w:rsidP="00D72C32">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As with the BOP, s</w:t>
            </w:r>
            <w:r w:rsidR="00D72C32" w:rsidRPr="00D72C32">
              <w:rPr>
                <w:rFonts w:ascii="Verdana" w:eastAsia="Times New Roman" w:hAnsi="Verdana" w:cs="Times New Roman"/>
                <w:color w:val="000000"/>
                <w:sz w:val="15"/>
                <w:szCs w:val="15"/>
              </w:rPr>
              <w:t xml:space="preserve">ample surveys are not being assessed over time, although new companies entering the market are captured through the media or through research and meetings with stakeholders. </w:t>
            </w:r>
            <w:r w:rsidR="00D72C32" w:rsidRPr="00804B58">
              <w:rPr>
                <w:rFonts w:ascii="Verdana" w:eastAsia="Times New Roman" w:hAnsi="Verdana" w:cs="Times New Roman"/>
                <w:color w:val="000000"/>
                <w:sz w:val="15"/>
                <w:szCs w:val="15"/>
              </w:rPr>
              <w:t>Dum</w:t>
            </w:r>
            <w:r>
              <w:rPr>
                <w:rFonts w:ascii="Verdana" w:eastAsia="Times New Roman" w:hAnsi="Verdana" w:cs="Times New Roman"/>
                <w:color w:val="000000"/>
                <w:sz w:val="15"/>
                <w:szCs w:val="15"/>
              </w:rPr>
              <w:t>my surveys for the non-respondent</w:t>
            </w:r>
            <w:r w:rsidR="00D72C32" w:rsidRPr="00804B58">
              <w:rPr>
                <w:rFonts w:ascii="Verdana" w:eastAsia="Times New Roman" w:hAnsi="Verdana" w:cs="Times New Roman"/>
                <w:color w:val="000000"/>
                <w:sz w:val="15"/>
                <w:szCs w:val="15"/>
              </w:rPr>
              <w:t xml:space="preserve"> companies based on their previous submitted data are in place and compiled with the rest of the received data, while follow up</w:t>
            </w:r>
            <w:r>
              <w:rPr>
                <w:rFonts w:ascii="Verdana" w:eastAsia="Times New Roman" w:hAnsi="Verdana" w:cs="Times New Roman"/>
                <w:color w:val="000000"/>
                <w:sz w:val="15"/>
                <w:szCs w:val="15"/>
              </w:rPr>
              <w:t>s</w:t>
            </w:r>
            <w:r w:rsidR="00D72C32" w:rsidRPr="00804B58">
              <w:rPr>
                <w:rFonts w:ascii="Verdana" w:eastAsia="Times New Roman" w:hAnsi="Verdana" w:cs="Times New Roman"/>
                <w:color w:val="000000"/>
                <w:sz w:val="15"/>
                <w:szCs w:val="15"/>
              </w:rPr>
              <w:t xml:space="preserve"> for actual data continues and once received, replacing the estimated data, which was based on the dummy surveys.</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3.3 Statistical techniques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28" w:name="431000"/>
            <w:r w:rsidRPr="00D72C32">
              <w:rPr>
                <w:rFonts w:ascii="Verdana" w:eastAsia="Times New Roman" w:hAnsi="Verdana" w:cs="Times New Roman"/>
                <w:b/>
                <w:bCs/>
                <w:color w:val="0000FF"/>
                <w:sz w:val="15"/>
                <w:szCs w:val="15"/>
              </w:rPr>
              <w:t>3.3.1 Source data statistical techniques</w:t>
            </w:r>
          </w:p>
          <w:bookmarkEnd w:id="2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br/>
            </w:r>
            <w:r w:rsidRPr="00D72C32">
              <w:rPr>
                <w:rFonts w:ascii="Verdana" w:eastAsia="Times New Roman" w:hAnsi="Verdana" w:cs="Times New Roman"/>
                <w:color w:val="000000"/>
                <w:sz w:val="15"/>
                <w:szCs w:val="15"/>
              </w:rPr>
              <w:br/>
            </w:r>
            <w:r w:rsidR="0047317F">
              <w:rPr>
                <w:rFonts w:ascii="Verdana" w:eastAsia="Times New Roman" w:hAnsi="Verdana" w:cs="Times New Roman"/>
                <w:i/>
                <w:iCs/>
                <w:color w:val="000000"/>
                <w:sz w:val="15"/>
                <w:szCs w:val="15"/>
              </w:rPr>
              <w:t xml:space="preserve">As with the </w:t>
            </w:r>
            <w:r w:rsidRPr="00D72C32">
              <w:rPr>
                <w:rFonts w:ascii="Verdana" w:eastAsia="Times New Roman" w:hAnsi="Verdana" w:cs="Times New Roman"/>
                <w:i/>
                <w:iCs/>
                <w:color w:val="000000"/>
                <w:sz w:val="15"/>
                <w:szCs w:val="15"/>
              </w:rPr>
              <w:t>Financial Account</w:t>
            </w:r>
            <w:r w:rsidR="0047317F">
              <w:rPr>
                <w:rFonts w:ascii="Verdana" w:eastAsia="Times New Roman" w:hAnsi="Verdana" w:cs="Times New Roman"/>
                <w:i/>
                <w:iCs/>
                <w:color w:val="000000"/>
                <w:sz w:val="15"/>
                <w:szCs w:val="15"/>
              </w:rPr>
              <w:t>, the IIP</w:t>
            </w:r>
            <w:r w:rsidRPr="00D72C32">
              <w:rPr>
                <w:rFonts w:ascii="Verdana" w:eastAsia="Times New Roman" w:hAnsi="Verdana" w:cs="Times New Roman"/>
                <w:i/>
                <w:iCs/>
                <w:color w:val="000000"/>
                <w:sz w:val="15"/>
                <w:szCs w:val="15"/>
              </w:rPr>
              <w:t>:</w:t>
            </w:r>
            <w:r w:rsidRPr="00D72C32">
              <w:rPr>
                <w:rFonts w:ascii="Verdana" w:eastAsia="Times New Roman" w:hAnsi="Verdana" w:cs="Times New Roman"/>
                <w:b/>
                <w:bCs/>
                <w:i/>
                <w:iCs/>
                <w:color w:val="000000"/>
                <w:sz w:val="15"/>
                <w:szCs w:val="15"/>
              </w:rPr>
              <w:t> </w:t>
            </w:r>
            <w:r w:rsidRPr="00D72C32">
              <w:rPr>
                <w:rFonts w:ascii="Verdana" w:eastAsia="Times New Roman" w:hAnsi="Verdana" w:cs="Times New Roman"/>
                <w:color w:val="000000"/>
                <w:sz w:val="15"/>
                <w:szCs w:val="15"/>
              </w:rPr>
              <w:br/>
              <w:t xml:space="preserve">For consistency, all items in the </w:t>
            </w:r>
            <w:r w:rsidR="0047317F">
              <w:rPr>
                <w:rFonts w:ascii="Verdana" w:eastAsia="Times New Roman" w:hAnsi="Verdana" w:cs="Times New Roman"/>
                <w:color w:val="000000"/>
                <w:sz w:val="15"/>
                <w:szCs w:val="15"/>
              </w:rPr>
              <w:t xml:space="preserve">IIP </w:t>
            </w:r>
            <w:r w:rsidRPr="00D72C32">
              <w:rPr>
                <w:rFonts w:ascii="Verdana" w:eastAsia="Times New Roman" w:hAnsi="Verdana" w:cs="Times New Roman"/>
                <w:color w:val="000000"/>
                <w:sz w:val="15"/>
                <w:szCs w:val="15"/>
              </w:rPr>
              <w:t xml:space="preserve">are edited and checked against the previous </w:t>
            </w:r>
            <w:r w:rsidR="0047317F">
              <w:rPr>
                <w:rFonts w:ascii="Verdana" w:eastAsia="Times New Roman" w:hAnsi="Verdana" w:cs="Times New Roman"/>
                <w:color w:val="000000"/>
                <w:sz w:val="15"/>
                <w:szCs w:val="15"/>
              </w:rPr>
              <w:t xml:space="preserve">quarter’s  or </w:t>
            </w:r>
            <w:r w:rsidRPr="00D72C32">
              <w:rPr>
                <w:rFonts w:ascii="Verdana" w:eastAsia="Times New Roman" w:hAnsi="Verdana" w:cs="Times New Roman"/>
                <w:color w:val="000000"/>
                <w:sz w:val="15"/>
                <w:szCs w:val="15"/>
              </w:rPr>
              <w:t>year’s data</w:t>
            </w:r>
            <w:r w:rsidR="0047317F">
              <w:rPr>
                <w:rFonts w:ascii="Verdana" w:eastAsia="Times New Roman" w:hAnsi="Verdana" w:cs="Times New Roman"/>
                <w:color w:val="000000"/>
                <w:sz w:val="15"/>
                <w:szCs w:val="15"/>
              </w:rPr>
              <w:t xml:space="preserve"> and with</w:t>
            </w:r>
            <w:r w:rsidRPr="00D72C32">
              <w:rPr>
                <w:rFonts w:ascii="Verdana" w:eastAsia="Times New Roman" w:hAnsi="Verdana" w:cs="Times New Roman"/>
                <w:color w:val="000000"/>
                <w:sz w:val="15"/>
                <w:szCs w:val="15"/>
              </w:rPr>
              <w:t xml:space="preserve"> fiscal accounts, MFS, and other sectors' statistical series for direct investment, portfolio investment</w:t>
            </w:r>
            <w:r w:rsidR="0047317F">
              <w:rPr>
                <w:rFonts w:ascii="Verdana" w:eastAsia="Times New Roman" w:hAnsi="Verdana" w:cs="Times New Roman"/>
                <w:color w:val="000000"/>
                <w:sz w:val="15"/>
                <w:szCs w:val="15"/>
              </w:rPr>
              <w:t xml:space="preserve">, </w:t>
            </w:r>
            <w:r w:rsidRPr="00D72C32">
              <w:rPr>
                <w:rFonts w:ascii="Verdana" w:eastAsia="Times New Roman" w:hAnsi="Verdana" w:cs="Times New Roman"/>
                <w:color w:val="000000"/>
                <w:sz w:val="15"/>
                <w:szCs w:val="15"/>
              </w:rPr>
              <w:t>and other investment. This is done by running reports from the IERS to crosscheck balances of the previous periods with recently submitted data.</w:t>
            </w:r>
            <w:r w:rsidR="0047317F">
              <w:rPr>
                <w:rFonts w:ascii="Verdana" w:eastAsia="Times New Roman" w:hAnsi="Verdana" w:cs="Times New Roman"/>
                <w:color w:val="000000"/>
                <w:sz w:val="15"/>
                <w:szCs w:val="15"/>
              </w:rPr>
              <w:t xml:space="preserve"> For the F</w:t>
            </w:r>
            <w:r w:rsidR="0047317F">
              <w:rPr>
                <w:rFonts w:ascii="Verdana" w:eastAsia="Times New Roman" w:hAnsi="Verdana" w:cs="Times New Roman"/>
                <w:color w:val="000000"/>
                <w:sz w:val="15"/>
                <w:szCs w:val="15"/>
              </w:rPr>
              <w:t>inancial derivatives and stock options</w:t>
            </w:r>
            <w:r w:rsidR="0047317F">
              <w:rPr>
                <w:rFonts w:ascii="Verdana" w:eastAsia="Times New Roman" w:hAnsi="Verdana" w:cs="Times New Roman"/>
                <w:color w:val="000000"/>
                <w:sz w:val="15"/>
                <w:szCs w:val="15"/>
              </w:rPr>
              <w:t xml:space="preserve"> data, this is revised in line with </w:t>
            </w:r>
            <w:r w:rsidR="00A50D02">
              <w:rPr>
                <w:rFonts w:ascii="Verdana" w:eastAsia="Times New Roman" w:hAnsi="Verdana" w:cs="Times New Roman"/>
                <w:color w:val="000000"/>
                <w:sz w:val="15"/>
                <w:szCs w:val="15"/>
              </w:rPr>
              <w:t>the obtained</w:t>
            </w:r>
            <w:r w:rsidR="0047317F">
              <w:rPr>
                <w:rFonts w:ascii="Verdana" w:eastAsia="Times New Roman" w:hAnsi="Verdana" w:cs="Times New Roman"/>
                <w:color w:val="000000"/>
                <w:sz w:val="15"/>
                <w:szCs w:val="15"/>
              </w:rPr>
              <w:t xml:space="preserve"> MFS data.</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29" w:name="4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3.3.2 Other statistical procedures</w:t>
            </w:r>
          </w:p>
          <w:bookmarkEnd w:id="2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A50D02" w:rsidP="005A4E49">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Generally, n</w:t>
            </w:r>
            <w:r w:rsidRPr="00D72C32">
              <w:rPr>
                <w:rFonts w:ascii="Verdana" w:eastAsia="Times New Roman" w:hAnsi="Verdana" w:cs="Times New Roman"/>
                <w:color w:val="000000"/>
                <w:sz w:val="15"/>
                <w:szCs w:val="15"/>
              </w:rPr>
              <w:t xml:space="preserve">o seasonal adjustments are made. </w:t>
            </w:r>
            <w:r w:rsidR="00D92A52">
              <w:rPr>
                <w:rFonts w:ascii="Verdana" w:eastAsia="Times New Roman" w:hAnsi="Verdana" w:cs="Times New Roman"/>
                <w:color w:val="000000"/>
                <w:sz w:val="15"/>
                <w:szCs w:val="15"/>
              </w:rPr>
              <w:t>Public Finance d</w:t>
            </w:r>
            <w:r w:rsidR="00D72C32" w:rsidRPr="00804B58">
              <w:rPr>
                <w:rFonts w:ascii="Verdana" w:eastAsia="Times New Roman" w:hAnsi="Verdana" w:cs="Times New Roman"/>
                <w:color w:val="000000"/>
                <w:sz w:val="15"/>
                <w:szCs w:val="15"/>
              </w:rPr>
              <w:t>ata on fiscal year are converted to calendar year</w:t>
            </w:r>
            <w:r w:rsidR="00D92A52">
              <w:rPr>
                <w:rFonts w:ascii="Verdana" w:eastAsia="Times New Roman" w:hAnsi="Verdana" w:cs="Times New Roman"/>
                <w:color w:val="000000"/>
                <w:sz w:val="15"/>
                <w:szCs w:val="15"/>
              </w:rPr>
              <w:t xml:space="preserve"> by the </w:t>
            </w:r>
            <w:r>
              <w:rPr>
                <w:rFonts w:ascii="Verdana" w:eastAsia="Times New Roman" w:hAnsi="Verdana" w:cs="Times New Roman"/>
                <w:color w:val="000000"/>
                <w:sz w:val="15"/>
                <w:szCs w:val="15"/>
              </w:rPr>
              <w:t>Public finance sub-division</w:t>
            </w:r>
            <w:r w:rsidR="00D72C32" w:rsidRPr="00804B58">
              <w:rPr>
                <w:rFonts w:ascii="Verdana" w:eastAsia="Times New Roman" w:hAnsi="Verdana" w:cs="Times New Roman"/>
                <w:color w:val="000000"/>
                <w:sz w:val="15"/>
                <w:szCs w:val="15"/>
              </w:rPr>
              <w:t>.</w:t>
            </w:r>
            <w:r>
              <w:rPr>
                <w:rFonts w:ascii="Verdana" w:eastAsia="Times New Roman" w:hAnsi="Verdana" w:cs="Times New Roman"/>
                <w:color w:val="000000"/>
                <w:sz w:val="15"/>
                <w:szCs w:val="15"/>
              </w:rPr>
              <w:t xml:space="preserve"> The s</w:t>
            </w:r>
            <w:r w:rsidR="00D72C32" w:rsidRPr="00D72C32">
              <w:rPr>
                <w:rFonts w:ascii="Verdana" w:eastAsia="Times New Roman" w:hAnsi="Verdana" w:cs="Times New Roman"/>
                <w:color w:val="000000"/>
                <w:sz w:val="15"/>
                <w:szCs w:val="15"/>
              </w:rPr>
              <w:t>tock of international reserves are adjusted for capital gains and losses</w:t>
            </w:r>
            <w:r>
              <w:rPr>
                <w:rFonts w:ascii="Verdana" w:eastAsia="Times New Roman" w:hAnsi="Verdana" w:cs="Times New Roman"/>
                <w:color w:val="000000"/>
                <w:sz w:val="15"/>
                <w:szCs w:val="15"/>
              </w:rPr>
              <w:t xml:space="preserve"> when received from the financial markets department</w:t>
            </w:r>
            <w:r w:rsidR="00D72C32" w:rsidRPr="00D72C32">
              <w:rPr>
                <w:rFonts w:ascii="Verdana" w:eastAsia="Times New Roman" w:hAnsi="Verdana" w:cs="Times New Roman"/>
                <w:color w:val="000000"/>
                <w:sz w:val="15"/>
                <w:szCs w:val="15"/>
              </w:rPr>
              <w:t xml:space="preserve">. </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3.4 Data validation</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0" w:name="441000"/>
            <w:r w:rsidRPr="00D72C32">
              <w:rPr>
                <w:rFonts w:ascii="Verdana" w:eastAsia="Times New Roman" w:hAnsi="Verdana" w:cs="Times New Roman"/>
                <w:b/>
                <w:bCs/>
                <w:color w:val="0000FF"/>
                <w:sz w:val="15"/>
                <w:szCs w:val="15"/>
              </w:rPr>
              <w:t>3.4.1 Validation of intermediate results</w:t>
            </w:r>
          </w:p>
          <w:bookmarkEnd w:id="3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D1D8B">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Constant verifications are made to confirm consistency and correctness of data among various data. </w:t>
            </w:r>
            <w:r w:rsidR="00E4415B">
              <w:rPr>
                <w:rFonts w:ascii="Verdana" w:eastAsia="Times New Roman" w:hAnsi="Verdana" w:cs="Times New Roman"/>
                <w:color w:val="000000"/>
                <w:sz w:val="15"/>
                <w:szCs w:val="15"/>
              </w:rPr>
              <w:t xml:space="preserve">An MOU exists between the </w:t>
            </w:r>
            <w:r w:rsidRPr="00D72C32">
              <w:rPr>
                <w:rFonts w:ascii="Verdana" w:eastAsia="Times New Roman" w:hAnsi="Verdana" w:cs="Times New Roman"/>
                <w:color w:val="000000"/>
                <w:sz w:val="15"/>
                <w:szCs w:val="15"/>
              </w:rPr>
              <w:t xml:space="preserve">the Bank of Namibia </w:t>
            </w:r>
            <w:r w:rsidR="00E4415B">
              <w:rPr>
                <w:rFonts w:ascii="Verdana" w:eastAsia="Times New Roman" w:hAnsi="Verdana" w:cs="Times New Roman"/>
                <w:color w:val="000000"/>
                <w:sz w:val="15"/>
                <w:szCs w:val="15"/>
              </w:rPr>
              <w:t>and</w:t>
            </w:r>
            <w:r w:rsidRPr="00D72C32">
              <w:rPr>
                <w:rFonts w:ascii="Verdana" w:eastAsia="Times New Roman" w:hAnsi="Verdana" w:cs="Times New Roman"/>
                <w:color w:val="000000"/>
                <w:sz w:val="15"/>
                <w:szCs w:val="15"/>
              </w:rPr>
              <w:t xml:space="preserve"> the Ministry of Finance to understand each other’s data a</w:t>
            </w:r>
            <w:r w:rsidR="00AF0A1E">
              <w:rPr>
                <w:rFonts w:ascii="Verdana" w:eastAsia="Times New Roman" w:hAnsi="Verdana" w:cs="Times New Roman"/>
                <w:color w:val="000000"/>
                <w:sz w:val="15"/>
                <w:szCs w:val="15"/>
              </w:rPr>
              <w:t>nd the consistency of such data</w:t>
            </w:r>
            <w:r w:rsidRPr="00D72C32">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1" w:name="44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3.4.2 Assessment of intermediate data</w:t>
            </w:r>
          </w:p>
          <w:bookmarkEnd w:id="3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Assessment and follow up</w:t>
            </w:r>
            <w:r w:rsidR="00DD1D8B">
              <w:rPr>
                <w:rFonts w:ascii="Verdana" w:eastAsia="Times New Roman" w:hAnsi="Verdana" w:cs="Times New Roman"/>
                <w:color w:val="000000"/>
                <w:sz w:val="15"/>
                <w:szCs w:val="15"/>
              </w:rPr>
              <w:t>s</w:t>
            </w:r>
            <w:r w:rsidRPr="00D72C32">
              <w:rPr>
                <w:rFonts w:ascii="Verdana" w:eastAsia="Times New Roman" w:hAnsi="Verdana" w:cs="Times New Roman"/>
                <w:color w:val="000000"/>
                <w:sz w:val="15"/>
                <w:szCs w:val="15"/>
              </w:rPr>
              <w:t xml:space="preserve"> are constantly made to confirm consistency and correctness of data among various data producing agencies and a lot has been picked up through this process.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2" w:name="44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3.4.3 Assessment of discrepancies and other problems in statistical outputs</w:t>
            </w:r>
          </w:p>
          <w:bookmarkEnd w:id="3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340CCE">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Discrepancies </w:t>
            </w:r>
            <w:r w:rsidR="00340CCE">
              <w:rPr>
                <w:rFonts w:ascii="Verdana" w:eastAsia="Times New Roman" w:hAnsi="Verdana" w:cs="Times New Roman"/>
                <w:color w:val="000000"/>
                <w:sz w:val="15"/>
                <w:szCs w:val="15"/>
              </w:rPr>
              <w:t>in the survey</w:t>
            </w:r>
            <w:r w:rsidRPr="00D72C32">
              <w:rPr>
                <w:rFonts w:ascii="Verdana" w:eastAsia="Times New Roman" w:hAnsi="Verdana" w:cs="Times New Roman"/>
                <w:color w:val="000000"/>
                <w:sz w:val="15"/>
                <w:szCs w:val="15"/>
              </w:rPr>
              <w:t xml:space="preserve"> data are being picked up and steps </w:t>
            </w:r>
            <w:r w:rsidR="00340CCE">
              <w:rPr>
                <w:rFonts w:ascii="Verdana" w:eastAsia="Times New Roman" w:hAnsi="Verdana" w:cs="Times New Roman"/>
                <w:color w:val="000000"/>
                <w:sz w:val="15"/>
                <w:szCs w:val="15"/>
              </w:rPr>
              <w:t xml:space="preserve">usually </w:t>
            </w:r>
            <w:r w:rsidRPr="00D72C32">
              <w:rPr>
                <w:rFonts w:ascii="Verdana" w:eastAsia="Times New Roman" w:hAnsi="Verdana" w:cs="Times New Roman"/>
                <w:color w:val="000000"/>
                <w:sz w:val="15"/>
                <w:szCs w:val="15"/>
              </w:rPr>
              <w:t>are taken</w:t>
            </w:r>
            <w:r w:rsidR="00340CCE">
              <w:rPr>
                <w:rFonts w:ascii="Verdana" w:eastAsia="Times New Roman" w:hAnsi="Verdana" w:cs="Times New Roman"/>
                <w:color w:val="000000"/>
                <w:sz w:val="15"/>
                <w:szCs w:val="15"/>
              </w:rPr>
              <w:t xml:space="preserve"> up almost immediately with the survey respondents</w:t>
            </w:r>
            <w:r w:rsidRPr="00D72C32">
              <w:rPr>
                <w:rFonts w:ascii="Verdana" w:eastAsia="Times New Roman" w:hAnsi="Verdana" w:cs="Times New Roman"/>
                <w:color w:val="000000"/>
                <w:sz w:val="15"/>
                <w:szCs w:val="15"/>
              </w:rPr>
              <w:t xml:space="preserve"> </w:t>
            </w:r>
            <w:r w:rsidR="00340CCE">
              <w:rPr>
                <w:rFonts w:ascii="Verdana" w:eastAsia="Times New Roman" w:hAnsi="Verdana" w:cs="Times New Roman"/>
                <w:color w:val="000000"/>
                <w:sz w:val="15"/>
                <w:szCs w:val="15"/>
              </w:rPr>
              <w:t>for rectification</w:t>
            </w:r>
            <w:r w:rsidRPr="00D72C32">
              <w:rPr>
                <w:rFonts w:ascii="Verdana" w:eastAsia="Times New Roman" w:hAnsi="Verdana" w:cs="Times New Roman"/>
                <w:color w:val="000000"/>
                <w:sz w:val="15"/>
                <w:szCs w:val="15"/>
              </w:rPr>
              <w:t xml:space="preserve">. </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3.5 Revision studies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3" w:name="451000"/>
            <w:r w:rsidRPr="00D72C32">
              <w:rPr>
                <w:rFonts w:ascii="Verdana" w:eastAsia="Times New Roman" w:hAnsi="Verdana" w:cs="Times New Roman"/>
                <w:b/>
                <w:bCs/>
                <w:color w:val="0000FF"/>
                <w:sz w:val="15"/>
                <w:szCs w:val="15"/>
              </w:rPr>
              <w:t>3.5.1 Revision studies and analyses</w:t>
            </w:r>
          </w:p>
          <w:bookmarkEnd w:id="3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lastRenderedPageBreak/>
              <w:t>Revisions to the released data are done on a quarterly basis through the Quarterly bulletin for the data released during the previous quarter and footnotes are also used to indicate data that ha</w:t>
            </w:r>
            <w:r w:rsidR="00DD1D8B">
              <w:rPr>
                <w:rFonts w:ascii="Verdana" w:eastAsia="Times New Roman" w:hAnsi="Verdana" w:cs="Times New Roman"/>
                <w:color w:val="000000"/>
                <w:sz w:val="15"/>
                <w:szCs w:val="15"/>
              </w:rPr>
              <w:t>s</w:t>
            </w:r>
            <w:r w:rsidRPr="00D72C32">
              <w:rPr>
                <w:rFonts w:ascii="Verdana" w:eastAsia="Times New Roman" w:hAnsi="Verdana" w:cs="Times New Roman"/>
                <w:color w:val="000000"/>
                <w:sz w:val="15"/>
                <w:szCs w:val="15"/>
              </w:rPr>
              <w:t xml:space="preserve"> changed from the previous release.</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24"/>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lastRenderedPageBreak/>
              <w:t>4. Serviceability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34" w:name="500000" w:colFirst="0" w:colLast="0"/>
            <w:r w:rsidRPr="00D72C32">
              <w:rPr>
                <w:rFonts w:ascii="Verdana" w:eastAsia="Times New Roman" w:hAnsi="Verdana" w:cs="Times New Roman"/>
                <w:b/>
                <w:bCs/>
                <w:color w:val="0000FF"/>
                <w:sz w:val="15"/>
                <w:szCs w:val="15"/>
              </w:rPr>
              <w:t>4.1 Periodicity and timeliness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5" w:name="511000"/>
            <w:r w:rsidRPr="00D72C32">
              <w:rPr>
                <w:rFonts w:ascii="Verdana" w:eastAsia="Times New Roman" w:hAnsi="Verdana" w:cs="Times New Roman"/>
                <w:b/>
                <w:bCs/>
                <w:color w:val="0000FF"/>
                <w:sz w:val="15"/>
                <w:szCs w:val="15"/>
              </w:rPr>
              <w:t>4.1.1 Periodicity</w:t>
            </w:r>
          </w:p>
          <w:bookmarkEnd w:id="3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Data on</w:t>
            </w:r>
            <w:r w:rsidR="00591F49">
              <w:rPr>
                <w:rFonts w:ascii="Verdana" w:eastAsia="Times New Roman" w:hAnsi="Verdana" w:cs="Times New Roman"/>
                <w:color w:val="000000"/>
                <w:sz w:val="15"/>
                <w:szCs w:val="15"/>
              </w:rPr>
              <w:t xml:space="preserve"> the </w:t>
            </w:r>
            <w:r w:rsidRPr="00D72C32">
              <w:rPr>
                <w:rFonts w:ascii="Verdana" w:eastAsia="Times New Roman" w:hAnsi="Verdana" w:cs="Times New Roman"/>
                <w:color w:val="000000"/>
                <w:sz w:val="15"/>
                <w:szCs w:val="15"/>
              </w:rPr>
              <w:t>IIP are produced on a quarterly and annual basis.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6" w:name="51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4.1.2 Timeliness</w:t>
            </w:r>
          </w:p>
          <w:bookmarkEnd w:id="3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quarterly data are available three months after the end of the reference period. Similarly, the annual data are available three months after the end of the reference year.</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4.2 Consistency</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37" w:name="521000"/>
            <w:r w:rsidRPr="00D72C32">
              <w:rPr>
                <w:rFonts w:ascii="Verdana" w:eastAsia="Times New Roman" w:hAnsi="Verdana" w:cs="Times New Roman"/>
                <w:b/>
                <w:bCs/>
                <w:color w:val="0000FF"/>
                <w:sz w:val="15"/>
                <w:szCs w:val="15"/>
              </w:rPr>
              <w:t>4.2.1 Internal consistency</w:t>
            </w:r>
          </w:p>
          <w:bookmarkEnd w:id="3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804B58">
              <w:rPr>
                <w:rFonts w:ascii="Verdana" w:eastAsia="Times New Roman" w:hAnsi="Verdana" w:cs="Times New Roman"/>
                <w:color w:val="000000"/>
                <w:sz w:val="15"/>
                <w:szCs w:val="15"/>
              </w:rPr>
              <w:t>Data is broadly consistent with those produc</w:t>
            </w:r>
            <w:r w:rsidR="00591F49">
              <w:rPr>
                <w:rFonts w:ascii="Verdana" w:eastAsia="Times New Roman" w:hAnsi="Verdana" w:cs="Times New Roman"/>
                <w:color w:val="000000"/>
                <w:sz w:val="15"/>
                <w:szCs w:val="15"/>
              </w:rPr>
              <w:t>ed in other accounts internally.</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8" w:name="52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4.2.2 Temporal consistency</w:t>
            </w:r>
          </w:p>
          <w:bookmarkEnd w:id="3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082B24">
              <w:rPr>
                <w:rFonts w:ascii="Verdana" w:eastAsia="Times New Roman" w:hAnsi="Verdana" w:cs="Times New Roman"/>
                <w:color w:val="000000"/>
                <w:sz w:val="15"/>
                <w:szCs w:val="15"/>
              </w:rPr>
              <w:t>Data inconsistencies with other data producing agencies</w:t>
            </w:r>
            <w:r w:rsidR="00804B58" w:rsidRPr="00082B24">
              <w:rPr>
                <w:rFonts w:ascii="Verdana" w:eastAsia="Times New Roman" w:hAnsi="Verdana" w:cs="Times New Roman"/>
                <w:color w:val="000000"/>
                <w:sz w:val="15"/>
                <w:szCs w:val="15"/>
              </w:rPr>
              <w:t xml:space="preserve"> may exist due to </w:t>
            </w:r>
            <w:r w:rsidR="0073333F" w:rsidRPr="00082B24">
              <w:rPr>
                <w:rFonts w:ascii="Verdana" w:eastAsia="Times New Roman" w:hAnsi="Verdana" w:cs="Times New Roman"/>
                <w:color w:val="000000"/>
                <w:sz w:val="15"/>
                <w:szCs w:val="15"/>
              </w:rPr>
              <w:t xml:space="preserve">variation in publication dates. However, after review has taken place, </w:t>
            </w:r>
            <w:r w:rsidRPr="00082B24">
              <w:rPr>
                <w:rFonts w:ascii="Verdana" w:eastAsia="Times New Roman" w:hAnsi="Verdana" w:cs="Times New Roman"/>
                <w:color w:val="000000"/>
                <w:sz w:val="15"/>
                <w:szCs w:val="15"/>
              </w:rPr>
              <w:t xml:space="preserve">alignment </w:t>
            </w:r>
            <w:r w:rsidR="0073333F" w:rsidRPr="00082B24">
              <w:rPr>
                <w:rFonts w:ascii="Verdana" w:eastAsia="Times New Roman" w:hAnsi="Verdana" w:cs="Times New Roman"/>
                <w:color w:val="000000"/>
                <w:sz w:val="15"/>
                <w:szCs w:val="15"/>
              </w:rPr>
              <w:t xml:space="preserve">of data is made in the </w:t>
            </w:r>
            <w:r w:rsidR="00082B24" w:rsidRPr="00082B24">
              <w:rPr>
                <w:rFonts w:ascii="Verdana" w:eastAsia="Times New Roman" w:hAnsi="Verdana" w:cs="Times New Roman"/>
                <w:color w:val="000000"/>
                <w:sz w:val="15"/>
                <w:szCs w:val="15"/>
              </w:rPr>
              <w:t>next</w:t>
            </w:r>
            <w:r w:rsidR="0073333F" w:rsidRPr="00082B24">
              <w:rPr>
                <w:rFonts w:ascii="Verdana" w:eastAsia="Times New Roman" w:hAnsi="Verdana" w:cs="Times New Roman"/>
                <w:color w:val="000000"/>
                <w:sz w:val="15"/>
                <w:szCs w:val="15"/>
              </w:rPr>
              <w:t xml:space="preserve"> publications.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39" w:name="52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4.2.3 Inter</w:t>
            </w:r>
            <w:r w:rsidR="00082B24">
              <w:rPr>
                <w:rFonts w:ascii="Verdana" w:eastAsia="Times New Roman" w:hAnsi="Verdana" w:cs="Times New Roman"/>
                <w:b/>
                <w:bCs/>
                <w:color w:val="0000FF"/>
                <w:sz w:val="15"/>
                <w:szCs w:val="15"/>
              </w:rPr>
              <w:t>-</w:t>
            </w:r>
            <w:r w:rsidRPr="00D72C32">
              <w:rPr>
                <w:rFonts w:ascii="Verdana" w:eastAsia="Times New Roman" w:hAnsi="Verdana" w:cs="Times New Roman"/>
                <w:b/>
                <w:bCs/>
                <w:color w:val="0000FF"/>
                <w:sz w:val="15"/>
                <w:szCs w:val="15"/>
              </w:rPr>
              <w:t>sectoral and cross-domain consistency</w:t>
            </w:r>
          </w:p>
          <w:bookmarkEnd w:id="3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See 4.2.2 above.</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4.3 Revision</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40" w:name="531000"/>
            <w:r w:rsidRPr="00D72C32">
              <w:rPr>
                <w:rFonts w:ascii="Verdana" w:eastAsia="Times New Roman" w:hAnsi="Verdana" w:cs="Times New Roman"/>
                <w:b/>
                <w:bCs/>
                <w:color w:val="0000FF"/>
                <w:sz w:val="15"/>
                <w:szCs w:val="15"/>
              </w:rPr>
              <w:t>4.3.1 Revision schedule</w:t>
            </w:r>
          </w:p>
          <w:bookmarkEnd w:id="40"/>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 revision policy is in place for Balance of Payments data and is available on a quarterly basis for the previously released data of the previous quarter.</w:t>
            </w: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r w:rsidR="0094344A">
              <w:rPr>
                <w:rFonts w:ascii="Verdana" w:eastAsia="Times New Roman" w:hAnsi="Verdana" w:cs="Times New Roman"/>
                <w:b/>
                <w:bCs/>
                <w:color w:val="000000"/>
                <w:sz w:val="15"/>
                <w:szCs w:val="15"/>
                <w:u w:val="single"/>
              </w:rPr>
              <w:t xml:space="preserve"> and International Investment Position</w:t>
            </w:r>
          </w:p>
          <w:p w:rsidR="00D72C32" w:rsidRPr="0073333F" w:rsidRDefault="0094344A" w:rsidP="0073333F">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As with the balance of payments, r</w:t>
            </w:r>
            <w:r w:rsidR="00D72C32" w:rsidRPr="00D72C32">
              <w:rPr>
                <w:rFonts w:ascii="Verdana" w:eastAsia="Times New Roman" w:hAnsi="Verdana" w:cs="Times New Roman"/>
                <w:color w:val="000000"/>
                <w:sz w:val="15"/>
                <w:szCs w:val="15"/>
              </w:rPr>
              <w:t>evision to the data is done on a quarterly basis and published in the Quarterly Bulletins.</w:t>
            </w:r>
            <w:bookmarkStart w:id="41" w:name="5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4.3.2 Identification of preliminary and/or revised data</w:t>
            </w:r>
          </w:p>
          <w:bookmarkEnd w:id="4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A24756">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Published revision policy and footnotes are currently indicating revisions made or to be made to published data, </w:t>
            </w:r>
            <w:r w:rsidRPr="0073333F">
              <w:rPr>
                <w:rFonts w:ascii="Verdana" w:eastAsia="Times New Roman" w:hAnsi="Verdana" w:cs="Times New Roman"/>
                <w:color w:val="000000"/>
                <w:sz w:val="15"/>
                <w:szCs w:val="15"/>
              </w:rPr>
              <w:t xml:space="preserve">respectively. Furthermore, the revision policy </w:t>
            </w:r>
            <w:r w:rsidR="0073333F" w:rsidRPr="0073333F">
              <w:rPr>
                <w:rFonts w:ascii="Verdana" w:eastAsia="Times New Roman" w:hAnsi="Verdana" w:cs="Times New Roman"/>
                <w:color w:val="000000"/>
                <w:sz w:val="15"/>
                <w:szCs w:val="15"/>
              </w:rPr>
              <w:t>is posted on the website</w:t>
            </w:r>
            <w:r w:rsidRPr="0073333F">
              <w:rPr>
                <w:rFonts w:ascii="Verdana" w:eastAsia="Times New Roman" w:hAnsi="Verdana" w:cs="Times New Roman"/>
                <w:color w:val="000000"/>
                <w:sz w:val="15"/>
                <w:szCs w:val="15"/>
              </w:rPr>
              <w:t>.</w:t>
            </w: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r w:rsidR="0094344A">
              <w:rPr>
                <w:rFonts w:ascii="Verdana" w:eastAsia="Times New Roman" w:hAnsi="Verdana" w:cs="Times New Roman"/>
                <w:b/>
                <w:bCs/>
                <w:color w:val="000000"/>
                <w:sz w:val="15"/>
                <w:szCs w:val="15"/>
                <w:u w:val="single"/>
              </w:rPr>
              <w:t xml:space="preserve"> and IIP</w:t>
            </w:r>
          </w:p>
          <w:p w:rsidR="00D72C32" w:rsidRPr="00D72C32" w:rsidRDefault="0073333F" w:rsidP="00D72C32">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lastRenderedPageBreak/>
              <w:t>P</w:t>
            </w:r>
            <w:r w:rsidRPr="00D72C32">
              <w:rPr>
                <w:rFonts w:ascii="Verdana" w:eastAsia="Times New Roman" w:hAnsi="Verdana" w:cs="Times New Roman"/>
                <w:color w:val="000000"/>
                <w:sz w:val="15"/>
                <w:szCs w:val="15"/>
              </w:rPr>
              <w:t xml:space="preserve">rovisional data </w:t>
            </w:r>
            <w:r w:rsidR="00082B24">
              <w:rPr>
                <w:rFonts w:ascii="Verdana" w:eastAsia="Times New Roman" w:hAnsi="Verdana" w:cs="Times New Roman"/>
                <w:color w:val="000000"/>
                <w:sz w:val="15"/>
                <w:szCs w:val="15"/>
              </w:rPr>
              <w:t>are identified</w:t>
            </w:r>
            <w:r>
              <w:rPr>
                <w:rFonts w:ascii="Verdana" w:eastAsia="Times New Roman" w:hAnsi="Verdana" w:cs="Times New Roman"/>
                <w:color w:val="000000"/>
                <w:sz w:val="15"/>
                <w:szCs w:val="15"/>
              </w:rPr>
              <w:t xml:space="preserve"> in the form of footnote</w:t>
            </w:r>
            <w:r w:rsidR="00082B24">
              <w:rPr>
                <w:rFonts w:ascii="Verdana" w:eastAsia="Times New Roman" w:hAnsi="Verdana" w:cs="Times New Roman"/>
                <w:color w:val="000000"/>
                <w:sz w:val="15"/>
                <w:szCs w:val="15"/>
              </w:rPr>
              <w:t>s</w:t>
            </w:r>
            <w:r w:rsidR="00D72C32" w:rsidRPr="00D72C32">
              <w:rPr>
                <w:rFonts w:ascii="Verdana" w:eastAsia="Times New Roman" w:hAnsi="Verdana" w:cs="Times New Roman"/>
                <w:color w:val="000000"/>
                <w:sz w:val="15"/>
                <w:szCs w:val="15"/>
              </w:rPr>
              <w:t xml:space="preserve"> </w:t>
            </w:r>
            <w:r>
              <w:rPr>
                <w:rFonts w:ascii="Verdana" w:eastAsia="Times New Roman" w:hAnsi="Verdana" w:cs="Times New Roman"/>
                <w:color w:val="000000"/>
                <w:sz w:val="15"/>
                <w:szCs w:val="15"/>
              </w:rPr>
              <w:t xml:space="preserve">and indicate that data </w:t>
            </w:r>
            <w:r w:rsidR="00D72C32" w:rsidRPr="00D72C32">
              <w:rPr>
                <w:rFonts w:ascii="Verdana" w:eastAsia="Times New Roman" w:hAnsi="Verdana" w:cs="Times New Roman"/>
                <w:color w:val="000000"/>
                <w:sz w:val="15"/>
                <w:szCs w:val="15"/>
              </w:rPr>
              <w:t>will be revised in the future.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2" w:name="53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4.3.3 Dissemination of revision studies and analyses</w:t>
            </w:r>
          </w:p>
          <w:bookmarkEnd w:id="4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Analyses of the revised data are disseminated in each Quarterly Bulletin.</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34"/>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lastRenderedPageBreak/>
              <w:t>5. Accessibility</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bookmarkStart w:id="43" w:name="600000" w:colFirst="0" w:colLast="0"/>
            <w:r w:rsidRPr="00D72C32">
              <w:rPr>
                <w:rFonts w:ascii="Verdana" w:eastAsia="Times New Roman" w:hAnsi="Verdana" w:cs="Times New Roman"/>
                <w:b/>
                <w:bCs/>
                <w:color w:val="0000FF"/>
                <w:sz w:val="15"/>
                <w:szCs w:val="15"/>
              </w:rPr>
              <w:t>5.1 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44" w:name="611000"/>
            <w:r w:rsidRPr="00D72C32">
              <w:rPr>
                <w:rFonts w:ascii="Verdana" w:eastAsia="Times New Roman" w:hAnsi="Verdana" w:cs="Times New Roman"/>
                <w:b/>
                <w:bCs/>
                <w:color w:val="0000FF"/>
                <w:sz w:val="15"/>
                <w:szCs w:val="15"/>
              </w:rPr>
              <w:t>5.1.1 Statistical presentation</w:t>
            </w:r>
          </w:p>
          <w:bookmarkEnd w:id="4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A24756">
            <w:pPr>
              <w:spacing w:beforeAutospacing="1" w:after="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The data are disseminated in millions of Namibia dollars. </w:t>
            </w:r>
            <w:r w:rsidR="0094344A">
              <w:rPr>
                <w:rFonts w:ascii="Verdana" w:eastAsia="Times New Roman" w:hAnsi="Verdana" w:cs="Times New Roman"/>
                <w:color w:val="000000"/>
                <w:sz w:val="15"/>
                <w:szCs w:val="15"/>
              </w:rPr>
              <w:t>As with the</w:t>
            </w:r>
            <w:r w:rsidR="00A13D14">
              <w:rPr>
                <w:rFonts w:ascii="Verdana" w:eastAsia="Times New Roman" w:hAnsi="Verdana" w:cs="Times New Roman"/>
                <w:color w:val="000000"/>
                <w:sz w:val="15"/>
                <w:szCs w:val="15"/>
              </w:rPr>
              <w:t xml:space="preserve"> financial account, the</w:t>
            </w:r>
            <w:r w:rsidR="0094344A">
              <w:rPr>
                <w:rFonts w:ascii="Verdana" w:eastAsia="Times New Roman" w:hAnsi="Verdana" w:cs="Times New Roman"/>
                <w:color w:val="000000"/>
                <w:sz w:val="15"/>
                <w:szCs w:val="15"/>
              </w:rPr>
              <w:t xml:space="preserve"> IIP, </w:t>
            </w:r>
            <w:r w:rsidRPr="00D72C32">
              <w:rPr>
                <w:rFonts w:ascii="Verdana" w:eastAsia="Times New Roman" w:hAnsi="Verdana" w:cs="Times New Roman"/>
                <w:i/>
                <w:iCs/>
                <w:color w:val="000000"/>
                <w:sz w:val="15"/>
                <w:szCs w:val="15"/>
              </w:rPr>
              <w:t>account</w:t>
            </w:r>
            <w:r w:rsidRPr="00D72C32">
              <w:rPr>
                <w:rFonts w:ascii="Verdana" w:eastAsia="Times New Roman" w:hAnsi="Verdana" w:cs="Times New Roman"/>
                <w:color w:val="000000"/>
                <w:sz w:val="15"/>
                <w:szCs w:val="15"/>
              </w:rPr>
              <w:t> is made up of</w:t>
            </w:r>
            <w:r w:rsidR="00A24756">
              <w:rPr>
                <w:rFonts w:ascii="Verdana" w:eastAsia="Times New Roman" w:hAnsi="Verdana" w:cs="Times New Roman"/>
                <w:color w:val="000000"/>
                <w:sz w:val="15"/>
                <w:szCs w:val="15"/>
              </w:rPr>
              <w:t xml:space="preserve"> five functional categories, namely </w:t>
            </w:r>
            <w:r w:rsidRPr="00D72C32">
              <w:rPr>
                <w:rFonts w:ascii="Verdana" w:eastAsia="Times New Roman" w:hAnsi="Verdana" w:cs="Times New Roman"/>
                <w:color w:val="000000"/>
                <w:sz w:val="15"/>
                <w:szCs w:val="15"/>
              </w:rPr>
              <w:t xml:space="preserve">direct investment, portfolio investment, </w:t>
            </w:r>
            <w:r w:rsidR="00A13D14">
              <w:rPr>
                <w:rFonts w:ascii="Verdana" w:eastAsia="Times New Roman" w:hAnsi="Verdana" w:cs="Times New Roman"/>
                <w:color w:val="000000"/>
                <w:sz w:val="15"/>
                <w:szCs w:val="15"/>
              </w:rPr>
              <w:t xml:space="preserve">financial derivatives and stock options, </w:t>
            </w:r>
            <w:r w:rsidRPr="00D72C32">
              <w:rPr>
                <w:rFonts w:ascii="Verdana" w:eastAsia="Times New Roman" w:hAnsi="Verdana" w:cs="Times New Roman"/>
                <w:color w:val="000000"/>
                <w:sz w:val="15"/>
                <w:szCs w:val="15"/>
              </w:rPr>
              <w:t xml:space="preserve">other </w:t>
            </w:r>
            <w:r w:rsidR="00A24756">
              <w:rPr>
                <w:rFonts w:ascii="Verdana" w:eastAsia="Times New Roman" w:hAnsi="Verdana" w:cs="Times New Roman"/>
                <w:color w:val="000000"/>
                <w:sz w:val="15"/>
                <w:szCs w:val="15"/>
              </w:rPr>
              <w:t>investment and reserve assets</w:t>
            </w:r>
            <w:r w:rsidRPr="00D72C32">
              <w:rPr>
                <w:rFonts w:ascii="Verdana" w:eastAsia="Times New Roman" w:hAnsi="Verdana" w:cs="Times New Roman"/>
                <w:color w:val="000000"/>
                <w:sz w:val="15"/>
                <w:szCs w:val="15"/>
              </w:rPr>
              <w:t>. Text analyzing these data are presented clearly in the reports and further presented in tables and charts.</w:t>
            </w:r>
            <w:bookmarkStart w:id="45" w:name="6121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New release</w:t>
            </w:r>
          </w:p>
          <w:bookmarkEnd w:id="4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75186D">
            <w:pPr>
              <w:spacing w:before="100" w:beforeAutospacing="1" w:after="100" w:afterAutospacing="1" w:line="240" w:lineRule="auto"/>
              <w:jc w:val="both"/>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BOP</w:t>
            </w:r>
            <w:r w:rsidR="00A13D14">
              <w:rPr>
                <w:rFonts w:ascii="Verdana" w:eastAsia="Times New Roman" w:hAnsi="Verdana" w:cs="Times New Roman"/>
                <w:color w:val="000000"/>
                <w:sz w:val="15"/>
                <w:szCs w:val="15"/>
              </w:rPr>
              <w:t xml:space="preserve"> and IIP</w:t>
            </w:r>
            <w:r w:rsidRPr="00D72C32">
              <w:rPr>
                <w:rFonts w:ascii="Verdana" w:eastAsia="Times New Roman" w:hAnsi="Verdana" w:cs="Times New Roman"/>
                <w:color w:val="000000"/>
                <w:sz w:val="15"/>
                <w:szCs w:val="15"/>
              </w:rPr>
              <w:t xml:space="preserve"> data are</w:t>
            </w:r>
            <w:r w:rsidR="00A13D14">
              <w:rPr>
                <w:rFonts w:ascii="Verdana" w:eastAsia="Times New Roman" w:hAnsi="Verdana" w:cs="Times New Roman"/>
                <w:color w:val="000000"/>
                <w:sz w:val="15"/>
                <w:szCs w:val="15"/>
              </w:rPr>
              <w:t xml:space="preserve"> exclusively electronically </w:t>
            </w:r>
            <w:r w:rsidRPr="00D72C32">
              <w:rPr>
                <w:rFonts w:ascii="Verdana" w:eastAsia="Times New Roman" w:hAnsi="Verdana" w:cs="Times New Roman"/>
                <w:color w:val="000000"/>
                <w:sz w:val="15"/>
                <w:szCs w:val="15"/>
              </w:rPr>
              <w:t xml:space="preserve"> disseminated on a quarterly and annual basis on the Bank’s website</w:t>
            </w:r>
            <w:r w:rsidR="00A13D14">
              <w:rPr>
                <w:rFonts w:ascii="Verdana" w:eastAsia="Times New Roman" w:hAnsi="Verdana" w:cs="Times New Roman"/>
                <w:color w:val="000000"/>
                <w:sz w:val="15"/>
                <w:szCs w:val="15"/>
              </w:rPr>
              <w:t>.</w:t>
            </w:r>
            <w:r w:rsidR="00146BD2">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6" w:name="6122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Weekly bulletin</w:t>
            </w:r>
          </w:p>
          <w:bookmarkEnd w:id="46"/>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7" w:name="6123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Monthly Bulletin</w:t>
            </w:r>
          </w:p>
          <w:bookmarkEnd w:id="4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8" w:name="6124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Hard copy - Quarterly bulletin</w:t>
            </w:r>
          </w:p>
          <w:bookmarkEnd w:id="4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Only soft copies of the Quarterly bulletin are available on the Bank’s website.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49" w:name="6125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 xml:space="preserve">Hard copy - </w:t>
            </w:r>
            <w:r w:rsidR="00146BD2">
              <w:rPr>
                <w:rFonts w:ascii="Verdana" w:eastAsia="Times New Roman" w:hAnsi="Verdana" w:cs="Times New Roman"/>
                <w:b/>
                <w:bCs/>
                <w:color w:val="0000FF"/>
                <w:sz w:val="15"/>
                <w:szCs w:val="15"/>
              </w:rPr>
              <w:t>Annual Report</w:t>
            </w:r>
          </w:p>
          <w:bookmarkEnd w:id="49"/>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Bank of </w:t>
            </w:r>
            <w:r w:rsidR="00146BD2">
              <w:rPr>
                <w:rFonts w:ascii="Verdana" w:eastAsia="Times New Roman" w:hAnsi="Verdana" w:cs="Times New Roman"/>
                <w:color w:val="000000"/>
                <w:sz w:val="15"/>
                <w:szCs w:val="15"/>
              </w:rPr>
              <w:t>Namibia</w:t>
            </w:r>
            <w:r w:rsidRPr="00D72C32">
              <w:rPr>
                <w:rFonts w:ascii="Verdana" w:eastAsia="Times New Roman" w:hAnsi="Verdana" w:cs="Times New Roman"/>
                <w:color w:val="000000"/>
                <w:sz w:val="15"/>
                <w:szCs w:val="15"/>
              </w:rPr>
              <w:t xml:space="preserve"> Annual Report</w:t>
            </w:r>
            <w:r w:rsidR="00146BD2">
              <w:rPr>
                <w:rFonts w:ascii="Verdana" w:eastAsia="Times New Roman" w:hAnsi="Verdana" w:cs="Times New Roman"/>
                <w:color w:val="000000"/>
                <w:sz w:val="15"/>
                <w:szCs w:val="15"/>
              </w:rPr>
              <w:t xml:space="preserve"> is </w:t>
            </w:r>
            <w:r w:rsidR="00146BD2" w:rsidRPr="00D72C32">
              <w:rPr>
                <w:rFonts w:ascii="Verdana" w:eastAsia="Times New Roman" w:hAnsi="Verdana" w:cs="Times New Roman"/>
                <w:color w:val="000000"/>
                <w:sz w:val="15"/>
                <w:szCs w:val="15"/>
              </w:rPr>
              <w:t>available for distribution to the general public</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0" w:name="6126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Electronic - On-line bulletin or data</w:t>
            </w:r>
          </w:p>
          <w:bookmarkEnd w:id="50"/>
          <w:p w:rsidR="00D72C32" w:rsidRPr="00D72C32" w:rsidRDefault="00D72C32" w:rsidP="00D72C32">
            <w:pPr>
              <w:spacing w:after="0" w:line="240" w:lineRule="auto"/>
              <w:rPr>
                <w:rFonts w:ascii="Verdana" w:eastAsia="Times New Roman" w:hAnsi="Verdana" w:cs="Times New Roman"/>
                <w:color w:val="000000"/>
                <w:sz w:val="15"/>
                <w:szCs w:val="15"/>
              </w:rPr>
            </w:pPr>
          </w:p>
          <w:p w:rsidR="00146BD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 Quarterly Bulletin and Annual Report with BOP data are published on the Bank’s website: </w:t>
            </w:r>
            <w:hyperlink r:id="rId8" w:history="1">
              <w:r w:rsidRPr="00D72C32">
                <w:rPr>
                  <w:rFonts w:ascii="Verdana" w:eastAsia="Times New Roman" w:hAnsi="Verdana" w:cs="Times New Roman"/>
                  <w:color w:val="0000FF"/>
                  <w:sz w:val="15"/>
                  <w:szCs w:val="15"/>
                  <w:u w:val="single"/>
                </w:rPr>
                <w:t>http://www.bon.com.na</w:t>
              </w:r>
            </w:hyperlink>
            <w:r w:rsidRPr="00D72C32">
              <w:rPr>
                <w:rFonts w:ascii="Verdana" w:eastAsia="Times New Roman" w:hAnsi="Verdana" w:cs="Times New Roman"/>
                <w:color w:val="000000"/>
                <w:sz w:val="15"/>
                <w:szCs w:val="15"/>
              </w:rPr>
              <w:t> on a quarterly and annual basis, respectively.</w:t>
            </w:r>
          </w:p>
          <w:p w:rsidR="00D72C32" w:rsidRDefault="00146BD2" w:rsidP="00D72C32">
            <w:pPr>
              <w:spacing w:beforeAutospacing="1" w:after="0" w:afterAutospacing="1" w:line="240" w:lineRule="auto"/>
              <w:rPr>
                <w:rFonts w:ascii="Verdana" w:eastAsia="Times New Roman" w:hAnsi="Verdana" w:cs="Times New Roman"/>
                <w:color w:val="000000"/>
                <w:sz w:val="15"/>
                <w:szCs w:val="15"/>
              </w:rPr>
            </w:pPr>
            <w:r w:rsidRPr="0073333F">
              <w:rPr>
                <w:rFonts w:ascii="Verdana" w:eastAsia="Times New Roman" w:hAnsi="Verdana" w:cs="Times New Roman"/>
                <w:color w:val="000000"/>
                <w:sz w:val="15"/>
                <w:szCs w:val="15"/>
              </w:rPr>
              <w:lastRenderedPageBreak/>
              <w:t xml:space="preserve">BOP data are disseminated on a quarterly and annual basis on the Bank’s website through the following link: </w:t>
            </w:r>
            <w:hyperlink r:id="rId9" w:history="1">
              <w:r w:rsidRPr="0073333F">
                <w:rPr>
                  <w:rStyle w:val="Hyperlink"/>
                  <w:rFonts w:ascii="Verdana" w:eastAsia="Times New Roman" w:hAnsi="Verdana" w:cs="Times New Roman"/>
                  <w:sz w:val="15"/>
                  <w:szCs w:val="15"/>
                </w:rPr>
                <w:t>https://www.bon.com.na/Economic-information/Statistical-information/Balance-of-payments.aspx</w:t>
              </w:r>
            </w:hyperlink>
            <w:r w:rsidRPr="0073333F">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w:t>
            </w:r>
            <w:bookmarkStart w:id="51" w:name="612700"/>
          </w:p>
          <w:p w:rsidR="00146BD2" w:rsidRPr="00D72C32" w:rsidRDefault="00146BD2" w:rsidP="00D72C32">
            <w:pPr>
              <w:spacing w:after="0" w:line="240" w:lineRule="auto"/>
              <w:rPr>
                <w:rFonts w:ascii="Verdana" w:eastAsia="Times New Roman" w:hAnsi="Verdana" w:cs="Times New Roman"/>
                <w:color w:val="0000FF"/>
                <w:sz w:val="15"/>
                <w:szCs w:val="15"/>
              </w:rPr>
            </w:pPr>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Electronic - Other</w:t>
            </w:r>
          </w:p>
          <w:bookmarkEnd w:id="5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Public BOP data are forwarded to stakeholders in softcopy on requests.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2" w:name="613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5.1.3 Advance release calendar</w:t>
            </w:r>
          </w:p>
          <w:bookmarkEnd w:id="52"/>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75186D">
            <w:pPr>
              <w:spacing w:beforeAutospacing="1" w:after="0" w:afterAutospacing="1" w:line="240" w:lineRule="auto"/>
              <w:jc w:val="both"/>
              <w:rPr>
                <w:rFonts w:ascii="Verdana" w:eastAsia="Times New Roman" w:hAnsi="Verdana" w:cs="Times New Roman"/>
                <w:color w:val="000000"/>
                <w:sz w:val="15"/>
                <w:szCs w:val="15"/>
              </w:rPr>
            </w:pPr>
            <w:r w:rsidRPr="00393A9D">
              <w:rPr>
                <w:rFonts w:ascii="Verdana" w:eastAsia="Times New Roman" w:hAnsi="Verdana" w:cs="Times New Roman"/>
                <w:color w:val="000000"/>
                <w:sz w:val="15"/>
                <w:szCs w:val="15"/>
              </w:rPr>
              <w:t xml:space="preserve">There is an advance release calendar </w:t>
            </w:r>
            <w:r w:rsidR="009204AF" w:rsidRPr="00393A9D">
              <w:rPr>
                <w:rFonts w:ascii="Verdana" w:eastAsia="Times New Roman" w:hAnsi="Verdana" w:cs="Times New Roman"/>
                <w:color w:val="000000"/>
                <w:sz w:val="15"/>
                <w:szCs w:val="15"/>
              </w:rPr>
              <w:t>in place within the Research department</w:t>
            </w:r>
            <w:r w:rsidRPr="00393A9D">
              <w:rPr>
                <w:rFonts w:ascii="Verdana" w:eastAsia="Times New Roman" w:hAnsi="Verdana" w:cs="Times New Roman"/>
                <w:color w:val="000000"/>
                <w:sz w:val="15"/>
                <w:szCs w:val="15"/>
              </w:rPr>
              <w:t>. This</w:t>
            </w:r>
            <w:r w:rsidR="0075186D" w:rsidRPr="00393A9D">
              <w:rPr>
                <w:rFonts w:ascii="Verdana" w:eastAsia="Times New Roman" w:hAnsi="Verdana" w:cs="Times New Roman"/>
                <w:color w:val="000000"/>
                <w:sz w:val="15"/>
                <w:szCs w:val="15"/>
              </w:rPr>
              <w:t xml:space="preserve"> is, however, not published any</w:t>
            </w:r>
            <w:r w:rsidRPr="00393A9D">
              <w:rPr>
                <w:rFonts w:ascii="Verdana" w:eastAsia="Times New Roman" w:hAnsi="Verdana" w:cs="Times New Roman"/>
                <w:color w:val="000000"/>
                <w:sz w:val="15"/>
                <w:szCs w:val="15"/>
              </w:rPr>
              <w:t xml:space="preserve">where else. The release calendar is updated on a </w:t>
            </w:r>
            <w:r w:rsidR="009204AF" w:rsidRPr="00393A9D">
              <w:rPr>
                <w:rFonts w:ascii="Verdana" w:eastAsia="Times New Roman" w:hAnsi="Verdana" w:cs="Times New Roman"/>
                <w:color w:val="000000"/>
                <w:sz w:val="15"/>
                <w:szCs w:val="15"/>
              </w:rPr>
              <w:t>yearly</w:t>
            </w:r>
            <w:r w:rsidRPr="00393A9D">
              <w:rPr>
                <w:rFonts w:ascii="Verdana" w:eastAsia="Times New Roman" w:hAnsi="Verdana" w:cs="Times New Roman"/>
                <w:color w:val="000000"/>
                <w:sz w:val="15"/>
                <w:szCs w:val="15"/>
              </w:rPr>
              <w:t xml:space="preserve"> basis</w:t>
            </w:r>
            <w:r w:rsidR="00393A9D">
              <w:rPr>
                <w:rFonts w:ascii="Verdana" w:eastAsia="Times New Roman" w:hAnsi="Verdana" w:cs="Times New Roman"/>
                <w:color w:val="000000"/>
                <w:sz w:val="15"/>
                <w:szCs w:val="15"/>
              </w:rPr>
              <w:t xml:space="preserve"> at the beginning of the year</w:t>
            </w:r>
            <w:r w:rsidRPr="00393A9D">
              <w:rPr>
                <w:rFonts w:ascii="Verdana" w:eastAsia="Times New Roman" w:hAnsi="Verdana" w:cs="Times New Roman"/>
                <w:color w:val="000000"/>
                <w:sz w:val="15"/>
                <w:szCs w:val="15"/>
              </w:rPr>
              <w:t>.</w:t>
            </w:r>
            <w:r w:rsidRPr="00D72C32">
              <w:rPr>
                <w:rFonts w:ascii="Verdana" w:eastAsia="Times New Roman" w:hAnsi="Verdana" w:cs="Times New Roman"/>
                <w:color w:val="000000"/>
                <w:sz w:val="15"/>
                <w:szCs w:val="15"/>
              </w:rPr>
              <w:t xml:space="preserve"> </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3" w:name="614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5.1.4 Simultaneous release</w:t>
            </w:r>
          </w:p>
          <w:bookmarkEnd w:id="5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There is an embargo in place to ensure simultaneously release of publications to users.</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4" w:name="615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5.1.5 Dissemination on request</w:t>
            </w:r>
          </w:p>
          <w:bookmarkEnd w:id="5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5.2 Metadata</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55" w:name="621000"/>
            <w:r w:rsidRPr="00D72C32">
              <w:rPr>
                <w:rFonts w:ascii="Verdana" w:eastAsia="Times New Roman" w:hAnsi="Verdana" w:cs="Times New Roman"/>
                <w:b/>
                <w:bCs/>
                <w:color w:val="0000FF"/>
                <w:sz w:val="15"/>
                <w:szCs w:val="15"/>
              </w:rPr>
              <w:t>5.2.1 Dissemination of documentation on concepts, scope, classifications, basis of recording, data sources, and statistical techniques</w:t>
            </w:r>
          </w:p>
          <w:bookmarkEnd w:id="5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75186D">
            <w:pPr>
              <w:spacing w:before="100" w:beforeAutospacing="1" w:after="100" w:afterAutospacing="1" w:line="240" w:lineRule="auto"/>
              <w:jc w:val="both"/>
              <w:rPr>
                <w:rFonts w:ascii="Verdana" w:eastAsia="Times New Roman" w:hAnsi="Verdana" w:cs="Times New Roman"/>
                <w:color w:val="000000"/>
                <w:sz w:val="15"/>
                <w:szCs w:val="15"/>
              </w:rPr>
            </w:pPr>
            <w:r w:rsidRPr="00393A9D">
              <w:rPr>
                <w:rFonts w:ascii="Verdana" w:eastAsia="Times New Roman" w:hAnsi="Verdana" w:cs="Times New Roman"/>
                <w:color w:val="000000"/>
                <w:sz w:val="15"/>
                <w:szCs w:val="15"/>
              </w:rPr>
              <w:t>The BOP</w:t>
            </w:r>
            <w:r w:rsidR="00C664A9">
              <w:rPr>
                <w:rFonts w:ascii="Verdana" w:eastAsia="Times New Roman" w:hAnsi="Verdana" w:cs="Times New Roman"/>
                <w:color w:val="000000"/>
                <w:sz w:val="15"/>
                <w:szCs w:val="15"/>
              </w:rPr>
              <w:t xml:space="preserve"> and IIP</w:t>
            </w:r>
            <w:bookmarkStart w:id="56" w:name="_GoBack"/>
            <w:bookmarkEnd w:id="56"/>
            <w:r w:rsidRPr="00393A9D">
              <w:rPr>
                <w:rFonts w:ascii="Verdana" w:eastAsia="Times New Roman" w:hAnsi="Verdana" w:cs="Times New Roman"/>
                <w:color w:val="000000"/>
                <w:sz w:val="15"/>
                <w:szCs w:val="15"/>
              </w:rPr>
              <w:t xml:space="preserve"> </w:t>
            </w:r>
            <w:r w:rsidR="00393A9D" w:rsidRPr="00393A9D">
              <w:rPr>
                <w:rFonts w:ascii="Verdana" w:eastAsia="Times New Roman" w:hAnsi="Verdana" w:cs="Times New Roman"/>
                <w:color w:val="000000"/>
                <w:sz w:val="15"/>
                <w:szCs w:val="15"/>
              </w:rPr>
              <w:t xml:space="preserve">metadata </w:t>
            </w:r>
            <w:r w:rsidRPr="00393A9D">
              <w:rPr>
                <w:rFonts w:ascii="Verdana" w:eastAsia="Times New Roman" w:hAnsi="Verdana" w:cs="Times New Roman"/>
                <w:color w:val="000000"/>
                <w:sz w:val="15"/>
                <w:szCs w:val="15"/>
              </w:rPr>
              <w:t>contains technical notes, detailed methodology and sources used to compile BOP for Namibia. Also, methods, practices and data sources for compiling Namibia’s BOP, including reserve assets, make part of the IMF Balance of Payments Statistics Yearbook (BOPSY). This manual is also available to the public on the Bank’s website. The plan is to update the manual after every data improvement as a result of new sources, methods of adjustment.</w:t>
            </w:r>
          </w:p>
          <w:p w:rsidR="00D72C32" w:rsidRPr="00D72C32" w:rsidRDefault="00D72C32" w:rsidP="00D72C32">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5.3 Assistance to users</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57" w:name="631000"/>
            <w:r w:rsidRPr="00D72C32">
              <w:rPr>
                <w:rFonts w:ascii="Verdana" w:eastAsia="Times New Roman" w:hAnsi="Verdana" w:cs="Times New Roman"/>
                <w:b/>
                <w:bCs/>
                <w:color w:val="0000FF"/>
                <w:sz w:val="15"/>
                <w:szCs w:val="15"/>
              </w:rPr>
              <w:t>5.3.1 Dissemination of information on contact points</w:t>
            </w:r>
          </w:p>
          <w:bookmarkEnd w:id="57"/>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FF"/>
                <w:sz w:val="15"/>
                <w:szCs w:val="15"/>
              </w:rPr>
            </w:pPr>
            <w:bookmarkStart w:id="58" w:name="6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5.3.2 Availability of documents and services catalogs</w:t>
            </w:r>
          </w:p>
          <w:bookmarkEnd w:id="58"/>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D72C32" w:rsidRP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None</w:t>
            </w:r>
          </w:p>
          <w:p w:rsidR="00D72C32" w:rsidRPr="00D72C32" w:rsidRDefault="00D72C32" w:rsidP="00D72C32">
            <w:pPr>
              <w:spacing w:after="0" w:line="240" w:lineRule="auto"/>
              <w:rPr>
                <w:rFonts w:ascii="Verdana" w:eastAsia="Times New Roman" w:hAnsi="Verdana" w:cs="Times New Roman"/>
                <w:color w:val="000000"/>
                <w:sz w:val="15"/>
                <w:szCs w:val="15"/>
              </w:rPr>
            </w:pPr>
          </w:p>
        </w:tc>
      </w:tr>
      <w:bookmarkEnd w:id="43"/>
      <w:tr w:rsidR="00D72C32" w:rsidRPr="00D72C32" w:rsidTr="00D72C32">
        <w:trPr>
          <w:jc w:val="center"/>
        </w:trPr>
        <w:tc>
          <w:tcPr>
            <w:tcW w:w="0" w:type="auto"/>
            <w:gridSpan w:val="2"/>
            <w:tcBorders>
              <w:top w:val="single" w:sz="6" w:space="0" w:color="7F7F7F"/>
              <w:left w:val="single" w:sz="6" w:space="0" w:color="7F7F7F"/>
              <w:bottom w:val="single" w:sz="6" w:space="0" w:color="7F7F7F"/>
              <w:right w:val="single" w:sz="6" w:space="0" w:color="7F7F7F"/>
            </w:tcBorders>
            <w:shd w:val="clear" w:color="auto" w:fill="E7E7FF"/>
            <w:tcMar>
              <w:top w:w="0" w:type="dxa"/>
              <w:left w:w="30" w:type="dxa"/>
              <w:bottom w:w="0" w:type="dxa"/>
              <w:right w:w="0" w:type="dxa"/>
            </w:tcMar>
            <w:hideMark/>
          </w:tcPr>
          <w:p w:rsidR="00D72C32" w:rsidRPr="00D72C32" w:rsidRDefault="00D72C32" w:rsidP="00D72C32">
            <w:pPr>
              <w:spacing w:after="0" w:line="240" w:lineRule="auto"/>
              <w:jc w:val="center"/>
              <w:rPr>
                <w:rFonts w:ascii="Verdana" w:eastAsia="Times New Roman" w:hAnsi="Verdana" w:cs="Times New Roman"/>
                <w:b/>
                <w:bCs/>
                <w:color w:val="0000FF"/>
                <w:sz w:val="21"/>
                <w:szCs w:val="21"/>
              </w:rPr>
            </w:pPr>
            <w:r w:rsidRPr="00D72C32">
              <w:rPr>
                <w:rFonts w:ascii="Verdana" w:eastAsia="Times New Roman" w:hAnsi="Verdana" w:cs="Times New Roman"/>
                <w:b/>
                <w:bCs/>
                <w:color w:val="0000FF"/>
                <w:sz w:val="21"/>
                <w:szCs w:val="21"/>
              </w:rPr>
              <w:t>9. Plans</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A22639">
            <w:pPr>
              <w:shd w:val="clear" w:color="auto" w:fill="E3E4FA"/>
              <w:spacing w:after="0" w:line="240" w:lineRule="auto"/>
              <w:rPr>
                <w:rFonts w:ascii="Verdana" w:eastAsia="Times New Roman" w:hAnsi="Verdana" w:cs="Times New Roman"/>
                <w:b/>
                <w:bCs/>
                <w:color w:val="505050"/>
                <w:sz w:val="15"/>
                <w:szCs w:val="15"/>
                <w:u w:val="single"/>
              </w:rPr>
            </w:pPr>
            <w:bookmarkStart w:id="59" w:name="1000000"/>
            <w:r w:rsidRPr="00D72C32">
              <w:rPr>
                <w:rFonts w:ascii="Verdana" w:eastAsia="Times New Roman" w:hAnsi="Verdana" w:cs="Times New Roman"/>
                <w:b/>
                <w:bCs/>
                <w:color w:val="0000FF"/>
                <w:sz w:val="15"/>
                <w:szCs w:val="15"/>
              </w:rPr>
              <w:t>9.1 Recent</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A22639" w:rsidRDefault="00D72C32" w:rsidP="00A22639">
            <w:pPr>
              <w:shd w:val="clear" w:color="auto" w:fill="E3E4FA"/>
              <w:spacing w:after="0" w:line="240" w:lineRule="auto"/>
              <w:rPr>
                <w:rFonts w:ascii="Verdana" w:eastAsia="Times New Roman" w:hAnsi="Verdana" w:cs="Times New Roman"/>
                <w:b/>
                <w:bCs/>
                <w:color w:val="0000FF"/>
                <w:sz w:val="15"/>
                <w:szCs w:val="15"/>
              </w:rPr>
            </w:pPr>
            <w:bookmarkStart w:id="60" w:name="1011000"/>
            <w:r w:rsidRPr="00A22639">
              <w:rPr>
                <w:rFonts w:ascii="Verdana" w:eastAsia="Times New Roman" w:hAnsi="Verdana" w:cs="Times New Roman"/>
                <w:b/>
                <w:bCs/>
                <w:color w:val="0000FF"/>
                <w:sz w:val="15"/>
                <w:szCs w:val="15"/>
              </w:rPr>
              <w:t>Plans for improvement - Recent improvements</w:t>
            </w:r>
          </w:p>
          <w:bookmarkEnd w:id="60"/>
          <w:p w:rsidR="00D72C32" w:rsidRPr="00A22639" w:rsidRDefault="00D72C32" w:rsidP="00A22639">
            <w:pPr>
              <w:spacing w:after="0" w:line="240" w:lineRule="auto"/>
              <w:rPr>
                <w:rFonts w:ascii="Verdana" w:eastAsia="Times New Roman" w:hAnsi="Verdana" w:cs="Times New Roman"/>
                <w:color w:val="000000"/>
                <w:sz w:val="15"/>
                <w:szCs w:val="15"/>
              </w:rPr>
            </w:pPr>
          </w:p>
          <w:p w:rsidR="00D72C32" w:rsidRPr="00A22639" w:rsidRDefault="00D72C32" w:rsidP="00A22639">
            <w:pPr>
              <w:spacing w:after="0" w:line="240" w:lineRule="auto"/>
              <w:rPr>
                <w:rFonts w:ascii="Verdana" w:eastAsia="Times New Roman" w:hAnsi="Verdana" w:cs="Times New Roman"/>
                <w:color w:val="000000"/>
                <w:sz w:val="15"/>
                <w:szCs w:val="15"/>
              </w:rPr>
            </w:pPr>
            <w:r w:rsidRPr="00A22639">
              <w:rPr>
                <w:rFonts w:ascii="Verdana" w:eastAsia="Times New Roman" w:hAnsi="Verdana" w:cs="Times New Roman"/>
                <w:b/>
                <w:bCs/>
                <w:color w:val="000000"/>
                <w:sz w:val="15"/>
                <w:szCs w:val="15"/>
                <w:u w:val="single"/>
              </w:rPr>
              <w:lastRenderedPageBreak/>
              <w:t>Bank of Namibia</w:t>
            </w:r>
          </w:p>
          <w:p w:rsidR="00A22639" w:rsidRDefault="00A22639" w:rsidP="002E3BF3">
            <w:pPr>
              <w:spacing w:line="240" w:lineRule="auto"/>
              <w:rPr>
                <w:rFonts w:ascii="Verdana" w:eastAsia="Times New Roman" w:hAnsi="Verdana" w:cs="Times New Roman"/>
                <w:sz w:val="15"/>
                <w:szCs w:val="15"/>
              </w:rPr>
            </w:pPr>
            <w:r w:rsidRPr="00A22639">
              <w:rPr>
                <w:rFonts w:ascii="Verdana" w:eastAsia="Times New Roman" w:hAnsi="Verdana" w:cs="Times New Roman"/>
                <w:color w:val="000000"/>
                <w:sz w:val="15"/>
                <w:szCs w:val="15"/>
              </w:rPr>
              <w:t xml:space="preserve">1. </w:t>
            </w:r>
            <w:r w:rsidRPr="00A22639">
              <w:rPr>
                <w:rFonts w:ascii="Verdana" w:eastAsia="Times New Roman" w:hAnsi="Verdana" w:cs="Times New Roman"/>
                <w:sz w:val="15"/>
                <w:szCs w:val="15"/>
              </w:rPr>
              <w:t xml:space="preserve"> Migration to BPM6 with the launch of the June 2017 QB</w:t>
            </w:r>
            <w:r w:rsidRPr="00A22639">
              <w:rPr>
                <w:rFonts w:ascii="Verdana" w:eastAsia="Times New Roman" w:hAnsi="Verdana" w:cs="Times New Roman"/>
                <w:sz w:val="15"/>
                <w:szCs w:val="15"/>
              </w:rPr>
              <w:br/>
              <w:t>2.  Introduction of a comprehensive enterprise quarterly survey to capture more items win accordance with BPM6 standards</w:t>
            </w:r>
            <w:r w:rsidRPr="00A22639">
              <w:rPr>
                <w:rFonts w:ascii="Verdana" w:eastAsia="Times New Roman" w:hAnsi="Verdana" w:cs="Times New Roman"/>
                <w:sz w:val="15"/>
                <w:szCs w:val="15"/>
              </w:rPr>
              <w:br/>
              <w:t>3. Roll-out of Insurance survey to capture insurance related transaction as per BPM6 guidelines.</w:t>
            </w:r>
          </w:p>
          <w:p w:rsidR="00A22639" w:rsidRDefault="00A22639" w:rsidP="002E3BF3">
            <w:pPr>
              <w:spacing w:line="240" w:lineRule="auto"/>
              <w:rPr>
                <w:rFonts w:ascii="Verdana" w:eastAsia="Times New Roman" w:hAnsi="Verdana" w:cs="Times New Roman"/>
                <w:sz w:val="15"/>
                <w:szCs w:val="15"/>
              </w:rPr>
            </w:pPr>
            <w:r w:rsidRPr="00A22639">
              <w:rPr>
                <w:rFonts w:ascii="Verdana" w:eastAsia="Times New Roman" w:hAnsi="Verdana" w:cs="Times New Roman"/>
                <w:bCs/>
                <w:sz w:val="15"/>
                <w:szCs w:val="15"/>
              </w:rPr>
              <w:t>4. Updated internal BOP and IIP Manuals</w:t>
            </w:r>
          </w:p>
          <w:p w:rsidR="00A22639" w:rsidRPr="00A22639" w:rsidRDefault="00A22639" w:rsidP="002E3BF3">
            <w:pPr>
              <w:spacing w:line="240" w:lineRule="auto"/>
              <w:rPr>
                <w:rFonts w:ascii="Verdana" w:eastAsia="Times New Roman" w:hAnsi="Verdana" w:cs="Times New Roman"/>
                <w:sz w:val="15"/>
                <w:szCs w:val="15"/>
              </w:rPr>
            </w:pPr>
            <w:r w:rsidRPr="00A22639">
              <w:rPr>
                <w:rFonts w:ascii="Verdana" w:eastAsia="Times New Roman" w:hAnsi="Verdana" w:cs="Times New Roman"/>
                <w:bCs/>
                <w:sz w:val="15"/>
                <w:szCs w:val="15"/>
              </w:rPr>
              <w:t xml:space="preserve">5. </w:t>
            </w:r>
            <w:r w:rsidR="002E3BF3">
              <w:rPr>
                <w:rFonts w:ascii="Verdana" w:eastAsia="Times New Roman" w:hAnsi="Verdana" w:cs="Times New Roman"/>
                <w:bCs/>
                <w:sz w:val="15"/>
                <w:szCs w:val="15"/>
              </w:rPr>
              <w:t>Held s</w:t>
            </w:r>
            <w:r w:rsidRPr="00A22639">
              <w:rPr>
                <w:rFonts w:ascii="Verdana" w:eastAsia="Times New Roman" w:hAnsi="Verdana" w:cs="Times New Roman"/>
                <w:bCs/>
                <w:sz w:val="15"/>
                <w:szCs w:val="15"/>
              </w:rPr>
              <w:t>takeholder workshops with users and data respondents to sensitize them of the changes in data emanating from the migration.</w:t>
            </w:r>
          </w:p>
          <w:p w:rsidR="00D72C32" w:rsidRPr="00A22639" w:rsidRDefault="00A22639" w:rsidP="002E3BF3">
            <w:pPr>
              <w:spacing w:after="0" w:line="240" w:lineRule="auto"/>
              <w:rPr>
                <w:rFonts w:ascii="Verdana" w:eastAsia="Times New Roman" w:hAnsi="Verdana" w:cs="Times New Roman"/>
                <w:bCs/>
                <w:sz w:val="15"/>
                <w:szCs w:val="15"/>
              </w:rPr>
            </w:pPr>
            <w:r w:rsidRPr="00A22639">
              <w:rPr>
                <w:rFonts w:ascii="Verdana" w:eastAsia="Times New Roman" w:hAnsi="Verdana" w:cs="Times New Roman"/>
                <w:bCs/>
                <w:sz w:val="15"/>
                <w:szCs w:val="15"/>
              </w:rPr>
              <w:t>6.  Designed and disseminated balance of payments revision note prior to migration on the Bank’s website and Annual Report publication.</w:t>
            </w:r>
          </w:p>
          <w:p w:rsidR="00D72C32" w:rsidRPr="00A22639" w:rsidRDefault="00D72C32" w:rsidP="00A22639">
            <w:pPr>
              <w:spacing w:after="0" w:line="240" w:lineRule="auto"/>
              <w:rPr>
                <w:rFonts w:ascii="Verdana" w:eastAsia="Times New Roman" w:hAnsi="Verdana" w:cs="Times New Roman"/>
                <w:color w:val="000000"/>
                <w:sz w:val="15"/>
                <w:szCs w:val="15"/>
              </w:rPr>
            </w:pP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lastRenderedPageBreak/>
              <w:t>9.2 General</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61" w:name="1021000"/>
            <w:r w:rsidRPr="00D72C32">
              <w:rPr>
                <w:rFonts w:ascii="Verdana" w:eastAsia="Times New Roman" w:hAnsi="Verdana" w:cs="Times New Roman"/>
                <w:b/>
                <w:bCs/>
                <w:color w:val="0000FF"/>
                <w:sz w:val="15"/>
                <w:szCs w:val="15"/>
              </w:rPr>
              <w:t>Plans for improvement - Short-term</w:t>
            </w:r>
          </w:p>
          <w:bookmarkEnd w:id="61"/>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Bank of Namibia</w:t>
            </w:r>
          </w:p>
          <w:p w:rsidR="00A22639" w:rsidRDefault="00A22639"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1.</w:t>
            </w:r>
            <w:r w:rsidR="00D72C32" w:rsidRPr="00A22639">
              <w:rPr>
                <w:rFonts w:ascii="Verdana" w:eastAsia="Times New Roman" w:hAnsi="Verdana" w:cs="Times New Roman"/>
                <w:color w:val="000000"/>
                <w:sz w:val="15"/>
                <w:szCs w:val="15"/>
              </w:rPr>
              <w:t>Posting revision policy on the BON's website.</w:t>
            </w:r>
            <w:r w:rsidRPr="00D72C32">
              <w:rPr>
                <w:rFonts w:ascii="Verdana" w:eastAsia="Times New Roman" w:hAnsi="Verdana" w:cs="Times New Roman"/>
                <w:color w:val="000000"/>
                <w:sz w:val="15"/>
                <w:szCs w:val="15"/>
              </w:rPr>
              <w:t xml:space="preserve"> </w:t>
            </w:r>
          </w:p>
          <w:p w:rsidR="00D72C32" w:rsidRDefault="00A22639"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 xml:space="preserve">2. </w:t>
            </w:r>
            <w:r w:rsidRPr="00D72C32">
              <w:rPr>
                <w:rFonts w:ascii="Verdana" w:eastAsia="Times New Roman" w:hAnsi="Verdana" w:cs="Times New Roman"/>
                <w:color w:val="000000"/>
                <w:sz w:val="15"/>
                <w:szCs w:val="15"/>
              </w:rPr>
              <w:t>Posting the Release Calendar and Revision Policy on the Bank's website.</w:t>
            </w:r>
          </w:p>
          <w:p w:rsidR="007271E7"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3</w:t>
            </w:r>
            <w:r w:rsidRPr="007271E7">
              <w:rPr>
                <w:rFonts w:ascii="Verdana" w:eastAsia="Times New Roman" w:hAnsi="Verdana" w:cs="Times New Roman"/>
                <w:color w:val="000000"/>
                <w:sz w:val="15"/>
                <w:szCs w:val="15"/>
              </w:rPr>
              <w:t>. To have a document on sources and methods on how to compile the BOP and IIP and the dissemination to the public.</w:t>
            </w:r>
          </w:p>
          <w:p w:rsid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4</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The response rate of the quarterly surveys is hovering around 60 per cent and one of the priorities for future improvement would be to increase the resp</w:t>
            </w:r>
            <w:r w:rsidR="00A22639">
              <w:rPr>
                <w:rFonts w:ascii="Verdana" w:eastAsia="Times New Roman" w:hAnsi="Verdana" w:cs="Times New Roman"/>
                <w:color w:val="000000"/>
                <w:sz w:val="15"/>
                <w:szCs w:val="15"/>
              </w:rPr>
              <w:t>onse rate to around 70 per cent.</w:t>
            </w:r>
          </w:p>
          <w:p w:rsidR="00A22639"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5</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Ensure consistency of balance of payments and International Investment Position.</w:t>
            </w:r>
          </w:p>
          <w:p w:rsid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6</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Develop sample coverage/estimation procedures for small enterprises.</w:t>
            </w:r>
          </w:p>
          <w:p w:rsidR="007271E7"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7</w:t>
            </w:r>
            <w:r w:rsidRPr="007271E7">
              <w:rPr>
                <w:rFonts w:ascii="Verdana" w:eastAsia="Times New Roman" w:hAnsi="Verdana" w:cs="Times New Roman"/>
                <w:color w:val="000000"/>
                <w:sz w:val="15"/>
                <w:szCs w:val="15"/>
              </w:rPr>
              <w:t>. To continue to fill identified data gaps.</w:t>
            </w:r>
          </w:p>
          <w:p w:rsidR="007271E7"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8</w:t>
            </w:r>
            <w:r w:rsidRPr="007271E7">
              <w:rPr>
                <w:rFonts w:ascii="Verdana" w:eastAsia="Times New Roman" w:hAnsi="Verdana" w:cs="Times New Roman"/>
                <w:color w:val="000000"/>
                <w:sz w:val="15"/>
                <w:szCs w:val="15"/>
              </w:rPr>
              <w:t>. To expand data coverage through new data sources</w:t>
            </w:r>
          </w:p>
          <w:p w:rsidR="00A22639"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9</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Improve coverage of Direct Investment abroad and Portfolio investment into Namibia (private sector)</w:t>
            </w:r>
          </w:p>
          <w:p w:rsidR="00A22639" w:rsidRPr="00A22639"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10</w:t>
            </w:r>
            <w:r w:rsidR="00A22639">
              <w:rPr>
                <w:rFonts w:ascii="Verdana" w:eastAsia="Times New Roman" w:hAnsi="Verdana" w:cs="Times New Roman"/>
                <w:color w:val="000000"/>
                <w:sz w:val="15"/>
                <w:szCs w:val="15"/>
              </w:rPr>
              <w:t>.</w:t>
            </w:r>
            <w:r w:rsidR="00A22639" w:rsidRPr="00A22639">
              <w:rPr>
                <w:rFonts w:ascii="Verdana" w:eastAsia="Times New Roman" w:hAnsi="Verdana" w:cs="Times New Roman"/>
                <w:color w:val="000000"/>
                <w:sz w:val="15"/>
                <w:szCs w:val="15"/>
              </w:rPr>
              <w:t xml:space="preserve"> Improve coverage of portfolio investments.</w:t>
            </w:r>
          </w:p>
          <w:p w:rsidR="00D72C32" w:rsidRPr="007271E7" w:rsidRDefault="007271E7" w:rsidP="002E3BF3">
            <w:pPr>
              <w:spacing w:before="100" w:beforeAutospacing="1" w:after="100" w:afterAutospacing="1"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11</w:t>
            </w:r>
            <w:r w:rsidR="00A22639">
              <w:rPr>
                <w:rFonts w:ascii="Verdana" w:eastAsia="Times New Roman" w:hAnsi="Verdana" w:cs="Times New Roman"/>
                <w:color w:val="000000"/>
                <w:sz w:val="15"/>
                <w:szCs w:val="15"/>
              </w:rPr>
              <w:t xml:space="preserve">. </w:t>
            </w:r>
            <w:r w:rsidR="00A22639" w:rsidRPr="00A22639">
              <w:rPr>
                <w:rFonts w:ascii="Verdana" w:eastAsia="Times New Roman" w:hAnsi="Verdana" w:cs="Times New Roman"/>
                <w:color w:val="000000"/>
                <w:sz w:val="15"/>
                <w:szCs w:val="15"/>
              </w:rPr>
              <w:t>Improve coverage on all types of balance of payments surveys.</w:t>
            </w:r>
            <w:bookmarkStart w:id="62" w:name="Text_1021000"/>
            <w:bookmarkStart w:id="63" w:name="1022000"/>
            <w:bookmarkEnd w:id="62"/>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Plans for improvement - Medium-term</w:t>
            </w:r>
          </w:p>
          <w:bookmarkEnd w:id="63"/>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Default="00D72C32" w:rsidP="00D72C32">
            <w:pPr>
              <w:spacing w:after="0" w:line="240" w:lineRule="auto"/>
              <w:rPr>
                <w:rFonts w:ascii="Verdana" w:eastAsia="Times New Roman" w:hAnsi="Verdana" w:cs="Times New Roman"/>
                <w:b/>
                <w:bCs/>
                <w:color w:val="000000"/>
                <w:sz w:val="15"/>
                <w:szCs w:val="15"/>
                <w:u w:val="single"/>
              </w:rPr>
            </w:pPr>
            <w:r w:rsidRPr="00D72C32">
              <w:rPr>
                <w:rFonts w:ascii="Verdana" w:eastAsia="Times New Roman" w:hAnsi="Verdana" w:cs="Times New Roman"/>
                <w:b/>
                <w:bCs/>
                <w:color w:val="000000"/>
                <w:sz w:val="15"/>
                <w:szCs w:val="15"/>
                <w:u w:val="single"/>
              </w:rPr>
              <w:t>Balance of payments</w:t>
            </w:r>
          </w:p>
          <w:p w:rsidR="007271E7" w:rsidRPr="00D72C32" w:rsidRDefault="007271E7" w:rsidP="00D72C32">
            <w:pPr>
              <w:spacing w:after="0" w:line="240" w:lineRule="auto"/>
              <w:rPr>
                <w:rFonts w:ascii="Verdana" w:eastAsia="Times New Roman" w:hAnsi="Verdana" w:cs="Times New Roman"/>
                <w:color w:val="000000"/>
                <w:sz w:val="15"/>
                <w:szCs w:val="15"/>
              </w:rPr>
            </w:pPr>
          </w:p>
          <w:p w:rsidR="007271E7" w:rsidRDefault="007271E7" w:rsidP="007271E7">
            <w:pPr>
              <w:pStyle w:val="ListParagraph"/>
              <w:numPr>
                <w:ilvl w:val="0"/>
                <w:numId w:val="2"/>
              </w:numPr>
              <w:spacing w:after="0" w:line="240" w:lineRule="auto"/>
              <w:rPr>
                <w:rFonts w:ascii="Verdana" w:eastAsia="Times New Roman" w:hAnsi="Verdana" w:cs="Times New Roman"/>
                <w:color w:val="000000"/>
                <w:sz w:val="15"/>
                <w:szCs w:val="15"/>
              </w:rPr>
            </w:pPr>
            <w:r w:rsidRPr="007271E7">
              <w:rPr>
                <w:rFonts w:ascii="Verdana" w:eastAsia="Times New Roman" w:hAnsi="Verdana" w:cs="Times New Roman"/>
                <w:color w:val="000000"/>
                <w:sz w:val="15"/>
                <w:szCs w:val="15"/>
              </w:rPr>
              <w:t xml:space="preserve">Participation in the Coordinated Direct Investment Survey (CDIS) </w:t>
            </w:r>
          </w:p>
          <w:p w:rsidR="007271E7" w:rsidRPr="007271E7" w:rsidRDefault="007271E7" w:rsidP="00D72C32">
            <w:pPr>
              <w:pStyle w:val="ListParagraph"/>
              <w:numPr>
                <w:ilvl w:val="0"/>
                <w:numId w:val="2"/>
              </w:numPr>
              <w:spacing w:after="0" w:line="240" w:lineRule="auto"/>
              <w:rPr>
                <w:rFonts w:ascii="Verdana" w:eastAsia="Times New Roman" w:hAnsi="Verdana" w:cs="Times New Roman"/>
                <w:color w:val="000000"/>
                <w:sz w:val="15"/>
                <w:szCs w:val="15"/>
              </w:rPr>
            </w:pPr>
            <w:r>
              <w:rPr>
                <w:rFonts w:ascii="Verdana" w:eastAsia="Times New Roman" w:hAnsi="Verdana" w:cs="Times New Roman"/>
                <w:color w:val="000000"/>
                <w:sz w:val="15"/>
                <w:szCs w:val="15"/>
              </w:rPr>
              <w:t>Compile and disseminate an Integrated International Investment Position (IIP) Statement</w:t>
            </w:r>
          </w:p>
          <w:p w:rsidR="00D72C32" w:rsidRPr="00D72C32" w:rsidRDefault="007271E7"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 xml:space="preserve"> </w:t>
            </w:r>
          </w:p>
        </w:tc>
      </w:tr>
      <w:tr w:rsidR="00D72C32" w:rsidRPr="00D72C32" w:rsidTr="00D72C32">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505050"/>
                <w:sz w:val="15"/>
                <w:szCs w:val="15"/>
                <w:u w:val="single"/>
              </w:rPr>
            </w:pPr>
            <w:r w:rsidRPr="00D72C32">
              <w:rPr>
                <w:rFonts w:ascii="Verdana" w:eastAsia="Times New Roman" w:hAnsi="Verdana" w:cs="Times New Roman"/>
                <w:b/>
                <w:bCs/>
                <w:color w:val="0000FF"/>
                <w:sz w:val="15"/>
                <w:szCs w:val="15"/>
              </w:rPr>
              <w:t>9.3 Financial</w:t>
            </w:r>
          </w:p>
        </w:tc>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hideMark/>
          </w:tcPr>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bookmarkStart w:id="64" w:name="1031000"/>
            <w:r w:rsidRPr="00D72C32">
              <w:rPr>
                <w:rFonts w:ascii="Verdana" w:eastAsia="Times New Roman" w:hAnsi="Verdana" w:cs="Times New Roman"/>
                <w:b/>
                <w:bCs/>
                <w:color w:val="0000FF"/>
                <w:sz w:val="15"/>
                <w:szCs w:val="15"/>
              </w:rPr>
              <w:t>Plans for improvement - TA/financing needs - Short-term</w:t>
            </w:r>
          </w:p>
          <w:bookmarkEnd w:id="64"/>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p>
          <w:p w:rsidR="00D72C32" w:rsidRPr="00393A9D" w:rsidRDefault="00D72C32" w:rsidP="00D72C32">
            <w:pPr>
              <w:spacing w:beforeAutospacing="1" w:after="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br/>
            </w:r>
            <w:r w:rsidR="00393A9D">
              <w:rPr>
                <w:rFonts w:ascii="Verdana" w:eastAsia="Times New Roman" w:hAnsi="Verdana" w:cs="Times New Roman"/>
                <w:color w:val="000000"/>
                <w:sz w:val="15"/>
                <w:szCs w:val="15"/>
              </w:rPr>
              <w:t>T</w:t>
            </w:r>
            <w:r w:rsidRPr="00D72C32">
              <w:rPr>
                <w:rFonts w:ascii="Verdana" w:eastAsia="Times New Roman" w:hAnsi="Verdana" w:cs="Times New Roman"/>
                <w:color w:val="000000"/>
                <w:sz w:val="15"/>
                <w:szCs w:val="15"/>
              </w:rPr>
              <w:t xml:space="preserve">here are financing needs in terms of compiling staff visiting their counterparts in other countries to share their experiences and to learn from each other on how to handle some issues that are specific to the region. </w:t>
            </w:r>
            <w:bookmarkStart w:id="65" w:name="1032000"/>
          </w:p>
          <w:p w:rsidR="00D72C32" w:rsidRPr="00D72C32" w:rsidRDefault="00D72C32" w:rsidP="00D72C32">
            <w:pPr>
              <w:shd w:val="clear" w:color="auto" w:fill="E3E4FA"/>
              <w:spacing w:after="0" w:line="240" w:lineRule="auto"/>
              <w:rPr>
                <w:rFonts w:ascii="Verdana" w:eastAsia="Times New Roman" w:hAnsi="Verdana" w:cs="Times New Roman"/>
                <w:b/>
                <w:bCs/>
                <w:color w:val="0000FF"/>
                <w:sz w:val="15"/>
                <w:szCs w:val="15"/>
              </w:rPr>
            </w:pPr>
            <w:r w:rsidRPr="00D72C32">
              <w:rPr>
                <w:rFonts w:ascii="Verdana" w:eastAsia="Times New Roman" w:hAnsi="Verdana" w:cs="Times New Roman"/>
                <w:b/>
                <w:bCs/>
                <w:color w:val="0000FF"/>
                <w:sz w:val="15"/>
                <w:szCs w:val="15"/>
              </w:rPr>
              <w:t>Plans for improvement - TA/financing needs - Medium-term</w:t>
            </w:r>
          </w:p>
          <w:bookmarkEnd w:id="65"/>
          <w:p w:rsidR="00D72C32" w:rsidRPr="00D72C32" w:rsidRDefault="00D72C32" w:rsidP="00D72C32">
            <w:pPr>
              <w:spacing w:after="0" w:line="240" w:lineRule="auto"/>
              <w:rPr>
                <w:rFonts w:ascii="Verdana" w:eastAsia="Times New Roman" w:hAnsi="Verdana" w:cs="Times New Roman"/>
                <w:color w:val="000000"/>
                <w:sz w:val="15"/>
                <w:szCs w:val="15"/>
              </w:rPr>
            </w:pPr>
          </w:p>
          <w:p w:rsidR="00D72C32" w:rsidRPr="00D72C32" w:rsidRDefault="00D72C32" w:rsidP="00D72C32">
            <w:pPr>
              <w:spacing w:after="0" w:line="240" w:lineRule="auto"/>
              <w:rPr>
                <w:rFonts w:ascii="Verdana" w:eastAsia="Times New Roman" w:hAnsi="Verdana" w:cs="Times New Roman"/>
                <w:color w:val="000000"/>
                <w:sz w:val="15"/>
                <w:szCs w:val="15"/>
              </w:rPr>
            </w:pPr>
            <w:r w:rsidRPr="00D72C32">
              <w:rPr>
                <w:rFonts w:ascii="Verdana" w:eastAsia="Times New Roman" w:hAnsi="Verdana" w:cs="Times New Roman"/>
                <w:b/>
                <w:bCs/>
                <w:color w:val="000000"/>
                <w:sz w:val="15"/>
                <w:szCs w:val="15"/>
                <w:u w:val="single"/>
              </w:rPr>
              <w:t>Balance of payments</w:t>
            </w:r>
          </w:p>
          <w:p w:rsidR="00D72C32" w:rsidRDefault="00D72C32" w:rsidP="00D72C32">
            <w:pPr>
              <w:spacing w:before="100" w:beforeAutospacing="1" w:after="100" w:afterAutospacing="1" w:line="240" w:lineRule="auto"/>
              <w:rPr>
                <w:rFonts w:ascii="Verdana" w:eastAsia="Times New Roman" w:hAnsi="Verdana" w:cs="Times New Roman"/>
                <w:color w:val="000000"/>
                <w:sz w:val="15"/>
                <w:szCs w:val="15"/>
              </w:rPr>
            </w:pPr>
            <w:r w:rsidRPr="00D72C32">
              <w:rPr>
                <w:rFonts w:ascii="Verdana" w:eastAsia="Times New Roman" w:hAnsi="Verdana" w:cs="Times New Roman"/>
                <w:color w:val="000000"/>
                <w:sz w:val="15"/>
                <w:szCs w:val="15"/>
              </w:rPr>
              <w:t>For funding agencies to hold regular fully funded workshops where data issues are discussed.</w:t>
            </w:r>
          </w:p>
          <w:p w:rsidR="003D3812" w:rsidRPr="00D72C32" w:rsidRDefault="003D3812" w:rsidP="00D72C32">
            <w:pPr>
              <w:spacing w:before="100" w:beforeAutospacing="1" w:after="100" w:afterAutospacing="1" w:line="240" w:lineRule="auto"/>
              <w:rPr>
                <w:rFonts w:ascii="Verdana" w:eastAsia="Times New Roman" w:hAnsi="Verdana" w:cs="Times New Roman"/>
                <w:color w:val="000000"/>
                <w:sz w:val="15"/>
                <w:szCs w:val="15"/>
              </w:rPr>
            </w:pPr>
          </w:p>
        </w:tc>
      </w:tr>
      <w:tr w:rsidR="00A22639" w:rsidRPr="00D72C32" w:rsidTr="00A22639">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tcPr>
          <w:p w:rsidR="00A22639" w:rsidRPr="00D72C32" w:rsidRDefault="00A22639" w:rsidP="00D72C32">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lastRenderedPageBreak/>
              <w:t>9.4 Contact Person (s)</w:t>
            </w:r>
          </w:p>
        </w:tc>
        <w:tc>
          <w:tcPr>
            <w:tcW w:w="0" w:type="auto"/>
            <w:tcBorders>
              <w:top w:val="single" w:sz="6" w:space="0" w:color="7F7F7F"/>
              <w:left w:val="single" w:sz="6" w:space="0" w:color="7F7F7F"/>
              <w:bottom w:val="single" w:sz="6" w:space="0" w:color="7F7F7F"/>
              <w:right w:val="single" w:sz="6" w:space="0" w:color="7F7F7F"/>
            </w:tcBorders>
            <w:shd w:val="clear" w:color="auto" w:fill="auto"/>
            <w:tcMar>
              <w:top w:w="0" w:type="dxa"/>
              <w:left w:w="30" w:type="dxa"/>
              <w:bottom w:w="0" w:type="dxa"/>
              <w:right w:w="0" w:type="dxa"/>
            </w:tcMar>
          </w:tcPr>
          <w:p w:rsidR="00A22639" w:rsidRDefault="00A22639" w:rsidP="00D72C32">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Contact 1:</w:t>
            </w:r>
          </w:p>
          <w:p w:rsid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First name/Last name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Sanette Schulze Struchtrup</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Title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Deputy Director</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Division</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Statistics</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Department</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 xml:space="preserve"> Research</w:t>
            </w:r>
            <w:r w:rsidR="002E3BF3">
              <w:rPr>
                <w:rFonts w:ascii="Verdana" w:eastAsia="Times New Roman" w:hAnsi="Verdana" w:cs="Times New Roman"/>
                <w:b/>
                <w:bCs/>
                <w:sz w:val="15"/>
                <w:szCs w:val="15"/>
              </w:rPr>
              <w:t xml:space="preserve">                                         </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Agency</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Bank of Namibia</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Address</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P.O. Box 2882</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City/State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Windhoek</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Country</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Namibia</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Phone</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+264612835022</w:t>
            </w:r>
          </w:p>
          <w:p w:rsidR="00A22639" w:rsidRPr="00A22639" w:rsidRDefault="00A22639" w:rsidP="00D72C32">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Email</w:t>
            </w:r>
            <w:r w:rsidR="002E3BF3">
              <w:rPr>
                <w:rFonts w:ascii="Verdana" w:eastAsia="Times New Roman" w:hAnsi="Verdana" w:cs="Times New Roman"/>
                <w:b/>
                <w:bCs/>
                <w:sz w:val="15"/>
                <w:szCs w:val="15"/>
              </w:rPr>
              <w:t xml:space="preserve">                                                  </w:t>
            </w:r>
            <w:r w:rsidR="002E3BF3" w:rsidRPr="002E3BF3">
              <w:rPr>
                <w:rFonts w:ascii="Verdana" w:eastAsia="Times New Roman" w:hAnsi="Verdana" w:cs="Times New Roman"/>
                <w:bCs/>
                <w:sz w:val="15"/>
                <w:szCs w:val="15"/>
              </w:rPr>
              <w:t>Sanette.Schulze.Struchtrup@bon.com.na</w:t>
            </w: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2E3BF3" w:rsidRDefault="002E3BF3" w:rsidP="002E3BF3">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 xml:space="preserve">Contact </w:t>
            </w:r>
            <w:r w:rsidR="00434A8D">
              <w:rPr>
                <w:rFonts w:ascii="Verdana" w:eastAsia="Times New Roman" w:hAnsi="Verdana" w:cs="Times New Roman"/>
                <w:b/>
                <w:bCs/>
                <w:color w:val="0000FF"/>
                <w:sz w:val="15"/>
                <w:szCs w:val="15"/>
              </w:rPr>
              <w:t>2</w:t>
            </w:r>
            <w:r>
              <w:rPr>
                <w:rFonts w:ascii="Verdana" w:eastAsia="Times New Roman" w:hAnsi="Verdana" w:cs="Times New Roman"/>
                <w:b/>
                <w:bCs/>
                <w:color w:val="0000FF"/>
                <w:sz w:val="15"/>
                <w:szCs w:val="15"/>
              </w:rPr>
              <w:t>:</w:t>
            </w:r>
          </w:p>
          <w:p w:rsidR="002E3BF3" w:rsidRDefault="002E3BF3" w:rsidP="002E3BF3">
            <w:pPr>
              <w:shd w:val="clear" w:color="auto" w:fill="E3E4FA"/>
              <w:spacing w:after="0" w:line="240" w:lineRule="auto"/>
              <w:rPr>
                <w:rFonts w:ascii="Verdana" w:eastAsia="Times New Roman" w:hAnsi="Verdana" w:cs="Times New Roman"/>
                <w:b/>
                <w:bCs/>
                <w:color w:val="0000FF"/>
                <w:sz w:val="15"/>
                <w:szCs w:val="15"/>
              </w:rPr>
            </w:pP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First name/Last name</w:t>
            </w:r>
            <w:r>
              <w:rPr>
                <w:rFonts w:ascii="Verdana" w:eastAsia="Times New Roman" w:hAnsi="Verdana" w:cs="Times New Roman"/>
                <w:b/>
                <w:bCs/>
                <w:sz w:val="15"/>
                <w:szCs w:val="15"/>
              </w:rPr>
              <w:t xml:space="preserve">                        </w:t>
            </w:r>
            <w:r>
              <w:rPr>
                <w:rFonts w:ascii="Verdana" w:eastAsia="Times New Roman" w:hAnsi="Verdana" w:cs="Times New Roman"/>
                <w:bCs/>
                <w:sz w:val="15"/>
                <w:szCs w:val="15"/>
              </w:rPr>
              <w:t>Abigail Nainda</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Title</w:t>
            </w:r>
            <w:r>
              <w:rPr>
                <w:rFonts w:ascii="Verdana" w:eastAsia="Times New Roman" w:hAnsi="Verdana" w:cs="Times New Roman"/>
                <w:b/>
                <w:bCs/>
                <w:sz w:val="15"/>
                <w:szCs w:val="15"/>
              </w:rPr>
              <w:t xml:space="preserve">                                                     </w:t>
            </w:r>
            <w:r>
              <w:rPr>
                <w:rFonts w:ascii="Verdana" w:eastAsia="Times New Roman" w:hAnsi="Verdana" w:cs="Times New Roman"/>
                <w:bCs/>
                <w:sz w:val="15"/>
                <w:szCs w:val="15"/>
              </w:rPr>
              <w:t>Economist</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Division</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Statistics</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Department</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Research</w:t>
            </w:r>
            <w:r>
              <w:rPr>
                <w:rFonts w:ascii="Verdana" w:eastAsia="Times New Roman" w:hAnsi="Verdana" w:cs="Times New Roman"/>
                <w:b/>
                <w:bCs/>
                <w:sz w:val="15"/>
                <w:szCs w:val="15"/>
              </w:rPr>
              <w:t xml:space="preserve">                                         </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Agency</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Bank of Namibia</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Address</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P.O. Box 2882</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City/State</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Windhoek</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Country</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Namibia</w:t>
            </w:r>
          </w:p>
          <w:p w:rsidR="002E3BF3" w:rsidRPr="00A22639" w:rsidRDefault="002E3BF3" w:rsidP="002E3BF3">
            <w:pPr>
              <w:shd w:val="clear" w:color="auto" w:fill="E3E4FA"/>
              <w:spacing w:after="0" w:line="240" w:lineRule="auto"/>
              <w:rPr>
                <w:rFonts w:ascii="Verdana" w:eastAsia="Times New Roman" w:hAnsi="Verdana" w:cs="Times New Roman"/>
                <w:b/>
                <w:bCs/>
                <w:sz w:val="15"/>
                <w:szCs w:val="15"/>
              </w:rPr>
            </w:pPr>
            <w:r w:rsidRPr="00A22639">
              <w:rPr>
                <w:rFonts w:ascii="Verdana" w:eastAsia="Times New Roman" w:hAnsi="Verdana" w:cs="Times New Roman"/>
                <w:b/>
                <w:bCs/>
                <w:sz w:val="15"/>
                <w:szCs w:val="15"/>
              </w:rPr>
              <w:t>Phone</w:t>
            </w:r>
            <w:r>
              <w:rPr>
                <w:rFonts w:ascii="Verdana" w:eastAsia="Times New Roman" w:hAnsi="Verdana" w:cs="Times New Roman"/>
                <w:b/>
                <w:bCs/>
                <w:sz w:val="15"/>
                <w:szCs w:val="15"/>
              </w:rPr>
              <w:t xml:space="preserve">                                                  </w:t>
            </w:r>
            <w:r w:rsidRPr="002E3BF3">
              <w:rPr>
                <w:rFonts w:ascii="Verdana" w:eastAsia="Times New Roman" w:hAnsi="Verdana" w:cs="Times New Roman"/>
                <w:bCs/>
                <w:sz w:val="15"/>
                <w:szCs w:val="15"/>
              </w:rPr>
              <w:t>+264612835</w:t>
            </w:r>
            <w:r>
              <w:rPr>
                <w:rFonts w:ascii="Verdana" w:eastAsia="Times New Roman" w:hAnsi="Verdana" w:cs="Times New Roman"/>
                <w:bCs/>
                <w:sz w:val="15"/>
                <w:szCs w:val="15"/>
              </w:rPr>
              <w:t>138</w:t>
            </w:r>
          </w:p>
          <w:p w:rsidR="002E3BF3" w:rsidRPr="00A22639" w:rsidRDefault="002E3BF3" w:rsidP="002E3BF3">
            <w:pPr>
              <w:shd w:val="clear" w:color="auto" w:fill="E3E4FA"/>
              <w:spacing w:after="0" w:line="240" w:lineRule="auto"/>
              <w:rPr>
                <w:rFonts w:ascii="Verdana" w:eastAsia="Times New Roman" w:hAnsi="Verdana" w:cs="Times New Roman"/>
                <w:b/>
                <w:bCs/>
                <w:color w:val="0000FF"/>
                <w:sz w:val="15"/>
                <w:szCs w:val="15"/>
              </w:rPr>
            </w:pPr>
            <w:r w:rsidRPr="00A22639">
              <w:rPr>
                <w:rFonts w:ascii="Verdana" w:eastAsia="Times New Roman" w:hAnsi="Verdana" w:cs="Times New Roman"/>
                <w:b/>
                <w:bCs/>
                <w:sz w:val="15"/>
                <w:szCs w:val="15"/>
              </w:rPr>
              <w:t>Email</w:t>
            </w:r>
            <w:r>
              <w:rPr>
                <w:rFonts w:ascii="Verdana" w:eastAsia="Times New Roman" w:hAnsi="Verdana" w:cs="Times New Roman"/>
                <w:b/>
                <w:bCs/>
                <w:sz w:val="15"/>
                <w:szCs w:val="15"/>
              </w:rPr>
              <w:t xml:space="preserve">                                                   </w:t>
            </w:r>
            <w:r>
              <w:rPr>
                <w:rFonts w:ascii="Verdana" w:eastAsia="Times New Roman" w:hAnsi="Verdana" w:cs="Times New Roman"/>
                <w:bCs/>
                <w:sz w:val="15"/>
                <w:szCs w:val="15"/>
              </w:rPr>
              <w:t xml:space="preserve"> Abigail.Nainda</w:t>
            </w:r>
            <w:r w:rsidRPr="002E3BF3">
              <w:rPr>
                <w:rFonts w:ascii="Verdana" w:eastAsia="Times New Roman" w:hAnsi="Verdana" w:cs="Times New Roman"/>
                <w:bCs/>
                <w:sz w:val="15"/>
                <w:szCs w:val="15"/>
              </w:rPr>
              <w:t>@bon.com</w:t>
            </w: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p w:rsidR="00A22639" w:rsidRPr="00A22639" w:rsidRDefault="00A22639" w:rsidP="00D72C32">
            <w:pPr>
              <w:shd w:val="clear" w:color="auto" w:fill="E3E4FA"/>
              <w:spacing w:after="0" w:line="240" w:lineRule="auto"/>
              <w:rPr>
                <w:rFonts w:ascii="Verdana" w:eastAsia="Times New Roman" w:hAnsi="Verdana" w:cs="Times New Roman"/>
                <w:b/>
                <w:bCs/>
                <w:color w:val="0000FF"/>
                <w:sz w:val="15"/>
                <w:szCs w:val="15"/>
              </w:rPr>
            </w:pPr>
          </w:p>
        </w:tc>
      </w:tr>
      <w:tr w:rsidR="002E3BF3" w:rsidRPr="00D72C32" w:rsidTr="00A22639">
        <w:trPr>
          <w:jc w:val="center"/>
        </w:trPr>
        <w:tc>
          <w:tcPr>
            <w:tcW w:w="0" w:type="auto"/>
            <w:tcBorders>
              <w:top w:val="single" w:sz="6" w:space="0" w:color="7F7F7F"/>
              <w:left w:val="single" w:sz="6" w:space="0" w:color="7F7F7F"/>
              <w:bottom w:val="single" w:sz="6" w:space="0" w:color="7F7F7F"/>
              <w:right w:val="single" w:sz="6" w:space="0" w:color="7F7F7F"/>
            </w:tcBorders>
            <w:shd w:val="clear" w:color="auto" w:fill="FFFFFF"/>
            <w:tcMar>
              <w:top w:w="0" w:type="dxa"/>
              <w:left w:w="30" w:type="dxa"/>
              <w:bottom w:w="0" w:type="dxa"/>
              <w:right w:w="0" w:type="dxa"/>
            </w:tcMar>
          </w:tcPr>
          <w:p w:rsidR="002E3BF3" w:rsidRDefault="002E3BF3" w:rsidP="00D72C32">
            <w:pPr>
              <w:shd w:val="clear" w:color="auto" w:fill="E3E4FA"/>
              <w:spacing w:after="0" w:line="240" w:lineRule="auto"/>
              <w:rPr>
                <w:rFonts w:ascii="Verdana" w:eastAsia="Times New Roman" w:hAnsi="Verdana" w:cs="Times New Roman"/>
                <w:b/>
                <w:bCs/>
                <w:color w:val="0000FF"/>
                <w:sz w:val="15"/>
                <w:szCs w:val="15"/>
              </w:rPr>
            </w:pPr>
          </w:p>
        </w:tc>
        <w:tc>
          <w:tcPr>
            <w:tcW w:w="0" w:type="auto"/>
            <w:tcBorders>
              <w:top w:val="single" w:sz="6" w:space="0" w:color="7F7F7F"/>
              <w:left w:val="single" w:sz="6" w:space="0" w:color="7F7F7F"/>
              <w:bottom w:val="single" w:sz="6" w:space="0" w:color="7F7F7F"/>
              <w:right w:val="single" w:sz="6" w:space="0" w:color="7F7F7F"/>
            </w:tcBorders>
            <w:shd w:val="clear" w:color="auto" w:fill="auto"/>
            <w:tcMar>
              <w:top w:w="0" w:type="dxa"/>
              <w:left w:w="30" w:type="dxa"/>
              <w:bottom w:w="0" w:type="dxa"/>
              <w:right w:w="0" w:type="dxa"/>
            </w:tcMar>
          </w:tcPr>
          <w:p w:rsidR="002E3BF3" w:rsidRDefault="002E3BF3" w:rsidP="00D72C32">
            <w:pPr>
              <w:shd w:val="clear" w:color="auto" w:fill="E3E4FA"/>
              <w:spacing w:after="0" w:line="240" w:lineRule="auto"/>
              <w:rPr>
                <w:rFonts w:ascii="Verdana" w:eastAsia="Times New Roman" w:hAnsi="Verdana" w:cs="Times New Roman"/>
                <w:b/>
                <w:bCs/>
                <w:color w:val="0000FF"/>
                <w:sz w:val="15"/>
                <w:szCs w:val="15"/>
              </w:rPr>
            </w:pPr>
            <w:r>
              <w:rPr>
                <w:rFonts w:ascii="Verdana" w:eastAsia="Times New Roman" w:hAnsi="Verdana" w:cs="Times New Roman"/>
                <w:b/>
                <w:bCs/>
                <w:color w:val="0000FF"/>
                <w:sz w:val="15"/>
                <w:szCs w:val="15"/>
              </w:rPr>
              <w:t xml:space="preserve"> </w:t>
            </w:r>
          </w:p>
        </w:tc>
      </w:tr>
      <w:bookmarkEnd w:id="59"/>
    </w:tbl>
    <w:p w:rsidR="00F6099B" w:rsidRDefault="00B20F69"/>
    <w:sectPr w:rsidR="00F6099B">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E63" w:rsidRDefault="00EB5E63" w:rsidP="00AD53D4">
      <w:pPr>
        <w:spacing w:after="0" w:line="240" w:lineRule="auto"/>
      </w:pPr>
      <w:r>
        <w:separator/>
      </w:r>
    </w:p>
  </w:endnote>
  <w:endnote w:type="continuationSeparator" w:id="0">
    <w:p w:rsidR="00EB5E63" w:rsidRDefault="00EB5E63" w:rsidP="00AD5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013161"/>
      <w:docPartObj>
        <w:docPartGallery w:val="Page Numbers (Bottom of Page)"/>
        <w:docPartUnique/>
      </w:docPartObj>
    </w:sdtPr>
    <w:sdtEndPr>
      <w:rPr>
        <w:noProof/>
      </w:rPr>
    </w:sdtEndPr>
    <w:sdtContent>
      <w:p w:rsidR="00AD53D4" w:rsidRDefault="00AD53D4">
        <w:pPr>
          <w:pStyle w:val="Footer"/>
          <w:jc w:val="right"/>
        </w:pPr>
        <w:r>
          <w:fldChar w:fldCharType="begin"/>
        </w:r>
        <w:r>
          <w:instrText xml:space="preserve"> PAGE   \* MERGEFORMAT </w:instrText>
        </w:r>
        <w:r>
          <w:fldChar w:fldCharType="separate"/>
        </w:r>
        <w:r w:rsidR="00B20F69">
          <w:rPr>
            <w:noProof/>
          </w:rPr>
          <w:t>10</w:t>
        </w:r>
        <w:r>
          <w:rPr>
            <w:noProof/>
          </w:rPr>
          <w:fldChar w:fldCharType="end"/>
        </w:r>
      </w:p>
    </w:sdtContent>
  </w:sdt>
  <w:p w:rsidR="00AD53D4" w:rsidRDefault="00AD53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E63" w:rsidRDefault="00EB5E63" w:rsidP="00AD53D4">
      <w:pPr>
        <w:spacing w:after="0" w:line="240" w:lineRule="auto"/>
      </w:pPr>
      <w:r>
        <w:separator/>
      </w:r>
    </w:p>
  </w:footnote>
  <w:footnote w:type="continuationSeparator" w:id="0">
    <w:p w:rsidR="00EB5E63" w:rsidRDefault="00EB5E63" w:rsidP="00AD53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50DD"/>
    <w:multiLevelType w:val="hybridMultilevel"/>
    <w:tmpl w:val="47B20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FA47D7"/>
    <w:multiLevelType w:val="multilevel"/>
    <w:tmpl w:val="78305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C32"/>
    <w:rsid w:val="00082B24"/>
    <w:rsid w:val="000D0F5A"/>
    <w:rsid w:val="000D4FB4"/>
    <w:rsid w:val="000D5A64"/>
    <w:rsid w:val="00106750"/>
    <w:rsid w:val="00123CD2"/>
    <w:rsid w:val="00146BD2"/>
    <w:rsid w:val="00164779"/>
    <w:rsid w:val="00293F77"/>
    <w:rsid w:val="002E3BF3"/>
    <w:rsid w:val="003266AF"/>
    <w:rsid w:val="003304CD"/>
    <w:rsid w:val="00340CCE"/>
    <w:rsid w:val="00393A9D"/>
    <w:rsid w:val="003D3812"/>
    <w:rsid w:val="003D63FE"/>
    <w:rsid w:val="003E177E"/>
    <w:rsid w:val="00422D4D"/>
    <w:rsid w:val="00434A8D"/>
    <w:rsid w:val="00436E5A"/>
    <w:rsid w:val="00445112"/>
    <w:rsid w:val="0045583B"/>
    <w:rsid w:val="0047317F"/>
    <w:rsid w:val="00480674"/>
    <w:rsid w:val="004E3F86"/>
    <w:rsid w:val="004F2B74"/>
    <w:rsid w:val="00511A1A"/>
    <w:rsid w:val="00574580"/>
    <w:rsid w:val="00591F49"/>
    <w:rsid w:val="005A4E49"/>
    <w:rsid w:val="005B7F3F"/>
    <w:rsid w:val="00601B4F"/>
    <w:rsid w:val="00651EBD"/>
    <w:rsid w:val="006B6180"/>
    <w:rsid w:val="00726C00"/>
    <w:rsid w:val="007271E7"/>
    <w:rsid w:val="00730C58"/>
    <w:rsid w:val="0073333F"/>
    <w:rsid w:val="00735529"/>
    <w:rsid w:val="0075186D"/>
    <w:rsid w:val="00752BB0"/>
    <w:rsid w:val="007E21B2"/>
    <w:rsid w:val="00804B58"/>
    <w:rsid w:val="00863C41"/>
    <w:rsid w:val="00902DC4"/>
    <w:rsid w:val="00910DEE"/>
    <w:rsid w:val="009204AF"/>
    <w:rsid w:val="0094344A"/>
    <w:rsid w:val="009E55F4"/>
    <w:rsid w:val="00A13D14"/>
    <w:rsid w:val="00A22639"/>
    <w:rsid w:val="00A24756"/>
    <w:rsid w:val="00A33A06"/>
    <w:rsid w:val="00A50D02"/>
    <w:rsid w:val="00AD217F"/>
    <w:rsid w:val="00AD2E1C"/>
    <w:rsid w:val="00AD53D4"/>
    <w:rsid w:val="00AF0A1E"/>
    <w:rsid w:val="00B06D1E"/>
    <w:rsid w:val="00B20F69"/>
    <w:rsid w:val="00B746F7"/>
    <w:rsid w:val="00B96698"/>
    <w:rsid w:val="00BF5526"/>
    <w:rsid w:val="00C10134"/>
    <w:rsid w:val="00C64B25"/>
    <w:rsid w:val="00C664A9"/>
    <w:rsid w:val="00C7792D"/>
    <w:rsid w:val="00CE308D"/>
    <w:rsid w:val="00D06668"/>
    <w:rsid w:val="00D178D9"/>
    <w:rsid w:val="00D36A99"/>
    <w:rsid w:val="00D72C32"/>
    <w:rsid w:val="00D914A9"/>
    <w:rsid w:val="00D92A52"/>
    <w:rsid w:val="00DD1D8B"/>
    <w:rsid w:val="00DF333D"/>
    <w:rsid w:val="00E4415B"/>
    <w:rsid w:val="00EB5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0886C43"/>
  <w15:chartTrackingRefBased/>
  <w15:docId w15:val="{CD78CCF3-57ED-4CA0-B4D3-476B4ECF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53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53D4"/>
  </w:style>
  <w:style w:type="paragraph" w:styleId="Footer">
    <w:name w:val="footer"/>
    <w:basedOn w:val="Normal"/>
    <w:link w:val="FooterChar"/>
    <w:uiPriority w:val="99"/>
    <w:unhideWhenUsed/>
    <w:rsid w:val="00AD53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53D4"/>
  </w:style>
  <w:style w:type="character" w:styleId="Hyperlink">
    <w:name w:val="Hyperlink"/>
    <w:basedOn w:val="DefaultParagraphFont"/>
    <w:uiPriority w:val="99"/>
    <w:unhideWhenUsed/>
    <w:rsid w:val="00146BD2"/>
    <w:rPr>
      <w:color w:val="0563C1" w:themeColor="hyperlink"/>
      <w:u w:val="single"/>
    </w:rPr>
  </w:style>
  <w:style w:type="paragraph" w:styleId="ListParagraph">
    <w:name w:val="List Paragraph"/>
    <w:basedOn w:val="Normal"/>
    <w:uiPriority w:val="34"/>
    <w:qFormat/>
    <w:rsid w:val="00A226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819731">
      <w:bodyDiv w:val="1"/>
      <w:marLeft w:val="0"/>
      <w:marRight w:val="0"/>
      <w:marTop w:val="0"/>
      <w:marBottom w:val="0"/>
      <w:divBdr>
        <w:top w:val="none" w:sz="0" w:space="0" w:color="auto"/>
        <w:left w:val="none" w:sz="0" w:space="0" w:color="auto"/>
        <w:bottom w:val="none" w:sz="0" w:space="0" w:color="auto"/>
        <w:right w:val="none" w:sz="0" w:space="0" w:color="auto"/>
      </w:divBdr>
      <w:divsChild>
        <w:div w:id="1265267916">
          <w:marLeft w:val="0"/>
          <w:marRight w:val="0"/>
          <w:marTop w:val="0"/>
          <w:marBottom w:val="0"/>
          <w:divBdr>
            <w:top w:val="none" w:sz="0" w:space="0" w:color="auto"/>
            <w:left w:val="none" w:sz="0" w:space="0" w:color="auto"/>
            <w:bottom w:val="none" w:sz="0" w:space="0" w:color="auto"/>
            <w:right w:val="none" w:sz="0" w:space="0" w:color="auto"/>
          </w:divBdr>
        </w:div>
        <w:div w:id="1797871867">
          <w:marLeft w:val="0"/>
          <w:marRight w:val="0"/>
          <w:marTop w:val="0"/>
          <w:marBottom w:val="0"/>
          <w:divBdr>
            <w:top w:val="none" w:sz="0" w:space="0" w:color="auto"/>
            <w:left w:val="none" w:sz="0" w:space="0" w:color="auto"/>
            <w:bottom w:val="none" w:sz="0" w:space="0" w:color="auto"/>
            <w:right w:val="none" w:sz="0" w:space="0" w:color="auto"/>
          </w:divBdr>
          <w:divsChild>
            <w:div w:id="1904102846">
              <w:marLeft w:val="0"/>
              <w:marRight w:val="0"/>
              <w:marTop w:val="0"/>
              <w:marBottom w:val="0"/>
              <w:divBdr>
                <w:top w:val="none" w:sz="0" w:space="0" w:color="auto"/>
                <w:left w:val="none" w:sz="0" w:space="0" w:color="auto"/>
                <w:bottom w:val="none" w:sz="0" w:space="0" w:color="auto"/>
                <w:right w:val="none" w:sz="0" w:space="0" w:color="auto"/>
              </w:divBdr>
              <w:divsChild>
                <w:div w:id="1473719743">
                  <w:marLeft w:val="0"/>
                  <w:marRight w:val="0"/>
                  <w:marTop w:val="0"/>
                  <w:marBottom w:val="0"/>
                  <w:divBdr>
                    <w:top w:val="none" w:sz="0" w:space="0" w:color="auto"/>
                    <w:left w:val="none" w:sz="0" w:space="0" w:color="auto"/>
                    <w:bottom w:val="none" w:sz="0" w:space="0" w:color="auto"/>
                    <w:right w:val="none" w:sz="0" w:space="0" w:color="auto"/>
                  </w:divBdr>
                </w:div>
                <w:div w:id="2103867474">
                  <w:marLeft w:val="0"/>
                  <w:marRight w:val="0"/>
                  <w:marTop w:val="0"/>
                  <w:marBottom w:val="0"/>
                  <w:divBdr>
                    <w:top w:val="none" w:sz="0" w:space="0" w:color="auto"/>
                    <w:left w:val="none" w:sz="0" w:space="0" w:color="auto"/>
                    <w:bottom w:val="none" w:sz="0" w:space="0" w:color="auto"/>
                    <w:right w:val="none" w:sz="0" w:space="0" w:color="auto"/>
                  </w:divBdr>
                </w:div>
                <w:div w:id="178089124">
                  <w:marLeft w:val="0"/>
                  <w:marRight w:val="0"/>
                  <w:marTop w:val="0"/>
                  <w:marBottom w:val="0"/>
                  <w:divBdr>
                    <w:top w:val="none" w:sz="0" w:space="0" w:color="auto"/>
                    <w:left w:val="none" w:sz="0" w:space="0" w:color="auto"/>
                    <w:bottom w:val="none" w:sz="0" w:space="0" w:color="auto"/>
                    <w:right w:val="none" w:sz="0" w:space="0" w:color="auto"/>
                  </w:divBdr>
                </w:div>
              </w:divsChild>
            </w:div>
            <w:div w:id="1978102698">
              <w:marLeft w:val="0"/>
              <w:marRight w:val="0"/>
              <w:marTop w:val="0"/>
              <w:marBottom w:val="0"/>
              <w:divBdr>
                <w:top w:val="none" w:sz="0" w:space="0" w:color="auto"/>
                <w:left w:val="none" w:sz="0" w:space="0" w:color="auto"/>
                <w:bottom w:val="none" w:sz="0" w:space="0" w:color="auto"/>
                <w:right w:val="none" w:sz="0" w:space="0" w:color="auto"/>
              </w:divBdr>
              <w:divsChild>
                <w:div w:id="449977574">
                  <w:marLeft w:val="0"/>
                  <w:marRight w:val="0"/>
                  <w:marTop w:val="0"/>
                  <w:marBottom w:val="0"/>
                  <w:divBdr>
                    <w:top w:val="none" w:sz="0" w:space="0" w:color="auto"/>
                    <w:left w:val="none" w:sz="0" w:space="0" w:color="auto"/>
                    <w:bottom w:val="none" w:sz="0" w:space="0" w:color="auto"/>
                    <w:right w:val="none" w:sz="0" w:space="0" w:color="auto"/>
                  </w:divBdr>
                </w:div>
                <w:div w:id="905802237">
                  <w:marLeft w:val="0"/>
                  <w:marRight w:val="0"/>
                  <w:marTop w:val="0"/>
                  <w:marBottom w:val="0"/>
                  <w:divBdr>
                    <w:top w:val="none" w:sz="0" w:space="0" w:color="auto"/>
                    <w:left w:val="none" w:sz="0" w:space="0" w:color="auto"/>
                    <w:bottom w:val="none" w:sz="0" w:space="0" w:color="auto"/>
                    <w:right w:val="none" w:sz="0" w:space="0" w:color="auto"/>
                  </w:divBdr>
                </w:div>
                <w:div w:id="254824340">
                  <w:marLeft w:val="0"/>
                  <w:marRight w:val="0"/>
                  <w:marTop w:val="0"/>
                  <w:marBottom w:val="0"/>
                  <w:divBdr>
                    <w:top w:val="none" w:sz="0" w:space="0" w:color="auto"/>
                    <w:left w:val="none" w:sz="0" w:space="0" w:color="auto"/>
                    <w:bottom w:val="none" w:sz="0" w:space="0" w:color="auto"/>
                    <w:right w:val="none" w:sz="0" w:space="0" w:color="auto"/>
                  </w:divBdr>
                </w:div>
              </w:divsChild>
            </w:div>
            <w:div w:id="2132622797">
              <w:marLeft w:val="0"/>
              <w:marRight w:val="0"/>
              <w:marTop w:val="0"/>
              <w:marBottom w:val="0"/>
              <w:divBdr>
                <w:top w:val="none" w:sz="0" w:space="0" w:color="auto"/>
                <w:left w:val="none" w:sz="0" w:space="0" w:color="auto"/>
                <w:bottom w:val="none" w:sz="0" w:space="0" w:color="auto"/>
                <w:right w:val="none" w:sz="0" w:space="0" w:color="auto"/>
              </w:divBdr>
              <w:divsChild>
                <w:div w:id="2054452950">
                  <w:marLeft w:val="0"/>
                  <w:marRight w:val="0"/>
                  <w:marTop w:val="0"/>
                  <w:marBottom w:val="0"/>
                  <w:divBdr>
                    <w:top w:val="none" w:sz="0" w:space="0" w:color="auto"/>
                    <w:left w:val="none" w:sz="0" w:space="0" w:color="auto"/>
                    <w:bottom w:val="none" w:sz="0" w:space="0" w:color="auto"/>
                    <w:right w:val="none" w:sz="0" w:space="0" w:color="auto"/>
                  </w:divBdr>
                </w:div>
                <w:div w:id="596912855">
                  <w:marLeft w:val="0"/>
                  <w:marRight w:val="0"/>
                  <w:marTop w:val="0"/>
                  <w:marBottom w:val="0"/>
                  <w:divBdr>
                    <w:top w:val="none" w:sz="0" w:space="0" w:color="auto"/>
                    <w:left w:val="none" w:sz="0" w:space="0" w:color="auto"/>
                    <w:bottom w:val="none" w:sz="0" w:space="0" w:color="auto"/>
                    <w:right w:val="none" w:sz="0" w:space="0" w:color="auto"/>
                  </w:divBdr>
                </w:div>
                <w:div w:id="24983719">
                  <w:marLeft w:val="0"/>
                  <w:marRight w:val="0"/>
                  <w:marTop w:val="0"/>
                  <w:marBottom w:val="0"/>
                  <w:divBdr>
                    <w:top w:val="none" w:sz="0" w:space="0" w:color="auto"/>
                    <w:left w:val="none" w:sz="0" w:space="0" w:color="auto"/>
                    <w:bottom w:val="none" w:sz="0" w:space="0" w:color="auto"/>
                    <w:right w:val="none" w:sz="0" w:space="0" w:color="auto"/>
                  </w:divBdr>
                </w:div>
              </w:divsChild>
            </w:div>
            <w:div w:id="1183594092">
              <w:marLeft w:val="0"/>
              <w:marRight w:val="0"/>
              <w:marTop w:val="0"/>
              <w:marBottom w:val="0"/>
              <w:divBdr>
                <w:top w:val="none" w:sz="0" w:space="0" w:color="auto"/>
                <w:left w:val="none" w:sz="0" w:space="0" w:color="auto"/>
                <w:bottom w:val="none" w:sz="0" w:space="0" w:color="auto"/>
                <w:right w:val="none" w:sz="0" w:space="0" w:color="auto"/>
              </w:divBdr>
              <w:divsChild>
                <w:div w:id="211160644">
                  <w:marLeft w:val="0"/>
                  <w:marRight w:val="0"/>
                  <w:marTop w:val="0"/>
                  <w:marBottom w:val="0"/>
                  <w:divBdr>
                    <w:top w:val="none" w:sz="0" w:space="0" w:color="auto"/>
                    <w:left w:val="none" w:sz="0" w:space="0" w:color="auto"/>
                    <w:bottom w:val="none" w:sz="0" w:space="0" w:color="auto"/>
                    <w:right w:val="none" w:sz="0" w:space="0" w:color="auto"/>
                  </w:divBdr>
                </w:div>
                <w:div w:id="1657950627">
                  <w:marLeft w:val="0"/>
                  <w:marRight w:val="0"/>
                  <w:marTop w:val="0"/>
                  <w:marBottom w:val="0"/>
                  <w:divBdr>
                    <w:top w:val="none" w:sz="0" w:space="0" w:color="auto"/>
                    <w:left w:val="none" w:sz="0" w:space="0" w:color="auto"/>
                    <w:bottom w:val="none" w:sz="0" w:space="0" w:color="auto"/>
                    <w:right w:val="none" w:sz="0" w:space="0" w:color="auto"/>
                  </w:divBdr>
                </w:div>
                <w:div w:id="1630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900985">
          <w:marLeft w:val="0"/>
          <w:marRight w:val="0"/>
          <w:marTop w:val="0"/>
          <w:marBottom w:val="0"/>
          <w:divBdr>
            <w:top w:val="none" w:sz="0" w:space="0" w:color="auto"/>
            <w:left w:val="none" w:sz="0" w:space="0" w:color="auto"/>
            <w:bottom w:val="none" w:sz="0" w:space="0" w:color="auto"/>
            <w:right w:val="none" w:sz="0" w:space="0" w:color="auto"/>
          </w:divBdr>
        </w:div>
        <w:div w:id="2134207956">
          <w:marLeft w:val="0"/>
          <w:marRight w:val="0"/>
          <w:marTop w:val="0"/>
          <w:marBottom w:val="0"/>
          <w:divBdr>
            <w:top w:val="none" w:sz="0" w:space="0" w:color="auto"/>
            <w:left w:val="none" w:sz="0" w:space="0" w:color="auto"/>
            <w:bottom w:val="none" w:sz="0" w:space="0" w:color="auto"/>
            <w:right w:val="none" w:sz="0" w:space="0" w:color="auto"/>
          </w:divBdr>
          <w:divsChild>
            <w:div w:id="431978481">
              <w:marLeft w:val="0"/>
              <w:marRight w:val="0"/>
              <w:marTop w:val="0"/>
              <w:marBottom w:val="0"/>
              <w:divBdr>
                <w:top w:val="none" w:sz="0" w:space="0" w:color="auto"/>
                <w:left w:val="none" w:sz="0" w:space="0" w:color="auto"/>
                <w:bottom w:val="none" w:sz="0" w:space="0" w:color="auto"/>
                <w:right w:val="none" w:sz="0" w:space="0" w:color="auto"/>
              </w:divBdr>
            </w:div>
            <w:div w:id="295836180">
              <w:marLeft w:val="0"/>
              <w:marRight w:val="0"/>
              <w:marTop w:val="0"/>
              <w:marBottom w:val="0"/>
              <w:divBdr>
                <w:top w:val="none" w:sz="0" w:space="0" w:color="auto"/>
                <w:left w:val="none" w:sz="0" w:space="0" w:color="auto"/>
                <w:bottom w:val="none" w:sz="0" w:space="0" w:color="auto"/>
                <w:right w:val="none" w:sz="0" w:space="0" w:color="auto"/>
              </w:divBdr>
            </w:div>
          </w:divsChild>
        </w:div>
        <w:div w:id="118652188">
          <w:marLeft w:val="0"/>
          <w:marRight w:val="0"/>
          <w:marTop w:val="0"/>
          <w:marBottom w:val="0"/>
          <w:divBdr>
            <w:top w:val="none" w:sz="0" w:space="0" w:color="auto"/>
            <w:left w:val="none" w:sz="0" w:space="0" w:color="auto"/>
            <w:bottom w:val="none" w:sz="0" w:space="0" w:color="auto"/>
            <w:right w:val="none" w:sz="0" w:space="0" w:color="auto"/>
          </w:divBdr>
        </w:div>
        <w:div w:id="873007293">
          <w:marLeft w:val="0"/>
          <w:marRight w:val="0"/>
          <w:marTop w:val="0"/>
          <w:marBottom w:val="0"/>
          <w:divBdr>
            <w:top w:val="none" w:sz="0" w:space="0" w:color="auto"/>
            <w:left w:val="none" w:sz="0" w:space="0" w:color="auto"/>
            <w:bottom w:val="none" w:sz="0" w:space="0" w:color="auto"/>
            <w:right w:val="none" w:sz="0" w:space="0" w:color="auto"/>
          </w:divBdr>
          <w:divsChild>
            <w:div w:id="927032913">
              <w:marLeft w:val="0"/>
              <w:marRight w:val="0"/>
              <w:marTop w:val="0"/>
              <w:marBottom w:val="0"/>
              <w:divBdr>
                <w:top w:val="none" w:sz="0" w:space="0" w:color="auto"/>
                <w:left w:val="none" w:sz="0" w:space="0" w:color="auto"/>
                <w:bottom w:val="none" w:sz="0" w:space="0" w:color="auto"/>
                <w:right w:val="none" w:sz="0" w:space="0" w:color="auto"/>
              </w:divBdr>
            </w:div>
            <w:div w:id="1273975194">
              <w:marLeft w:val="0"/>
              <w:marRight w:val="0"/>
              <w:marTop w:val="0"/>
              <w:marBottom w:val="0"/>
              <w:divBdr>
                <w:top w:val="none" w:sz="0" w:space="0" w:color="auto"/>
                <w:left w:val="none" w:sz="0" w:space="0" w:color="auto"/>
                <w:bottom w:val="none" w:sz="0" w:space="0" w:color="auto"/>
                <w:right w:val="none" w:sz="0" w:space="0" w:color="auto"/>
              </w:divBdr>
            </w:div>
            <w:div w:id="732779167">
              <w:marLeft w:val="0"/>
              <w:marRight w:val="0"/>
              <w:marTop w:val="0"/>
              <w:marBottom w:val="0"/>
              <w:divBdr>
                <w:top w:val="none" w:sz="0" w:space="0" w:color="auto"/>
                <w:left w:val="none" w:sz="0" w:space="0" w:color="auto"/>
                <w:bottom w:val="none" w:sz="0" w:space="0" w:color="auto"/>
                <w:right w:val="none" w:sz="0" w:space="0" w:color="auto"/>
              </w:divBdr>
            </w:div>
          </w:divsChild>
        </w:div>
        <w:div w:id="2113014449">
          <w:marLeft w:val="0"/>
          <w:marRight w:val="0"/>
          <w:marTop w:val="0"/>
          <w:marBottom w:val="0"/>
          <w:divBdr>
            <w:top w:val="none" w:sz="0" w:space="0" w:color="auto"/>
            <w:left w:val="none" w:sz="0" w:space="0" w:color="auto"/>
            <w:bottom w:val="none" w:sz="0" w:space="0" w:color="auto"/>
            <w:right w:val="none" w:sz="0" w:space="0" w:color="auto"/>
          </w:divBdr>
          <w:divsChild>
            <w:div w:id="1085151321">
              <w:marLeft w:val="0"/>
              <w:marRight w:val="0"/>
              <w:marTop w:val="0"/>
              <w:marBottom w:val="0"/>
              <w:divBdr>
                <w:top w:val="none" w:sz="0" w:space="0" w:color="auto"/>
                <w:left w:val="none" w:sz="0" w:space="0" w:color="auto"/>
                <w:bottom w:val="none" w:sz="0" w:space="0" w:color="auto"/>
                <w:right w:val="none" w:sz="0" w:space="0" w:color="auto"/>
              </w:divBdr>
            </w:div>
            <w:div w:id="278031593">
              <w:marLeft w:val="0"/>
              <w:marRight w:val="0"/>
              <w:marTop w:val="0"/>
              <w:marBottom w:val="0"/>
              <w:divBdr>
                <w:top w:val="none" w:sz="0" w:space="0" w:color="auto"/>
                <w:left w:val="none" w:sz="0" w:space="0" w:color="auto"/>
                <w:bottom w:val="none" w:sz="0" w:space="0" w:color="auto"/>
                <w:right w:val="none" w:sz="0" w:space="0" w:color="auto"/>
              </w:divBdr>
            </w:div>
            <w:div w:id="1284577902">
              <w:marLeft w:val="0"/>
              <w:marRight w:val="0"/>
              <w:marTop w:val="0"/>
              <w:marBottom w:val="0"/>
              <w:divBdr>
                <w:top w:val="none" w:sz="0" w:space="0" w:color="auto"/>
                <w:left w:val="none" w:sz="0" w:space="0" w:color="auto"/>
                <w:bottom w:val="none" w:sz="0" w:space="0" w:color="auto"/>
                <w:right w:val="none" w:sz="0" w:space="0" w:color="auto"/>
              </w:divBdr>
            </w:div>
          </w:divsChild>
        </w:div>
        <w:div w:id="826214511">
          <w:marLeft w:val="0"/>
          <w:marRight w:val="0"/>
          <w:marTop w:val="0"/>
          <w:marBottom w:val="0"/>
          <w:divBdr>
            <w:top w:val="none" w:sz="0" w:space="0" w:color="auto"/>
            <w:left w:val="none" w:sz="0" w:space="0" w:color="auto"/>
            <w:bottom w:val="none" w:sz="0" w:space="0" w:color="auto"/>
            <w:right w:val="none" w:sz="0" w:space="0" w:color="auto"/>
          </w:divBdr>
          <w:divsChild>
            <w:div w:id="795610996">
              <w:marLeft w:val="0"/>
              <w:marRight w:val="0"/>
              <w:marTop w:val="0"/>
              <w:marBottom w:val="0"/>
              <w:divBdr>
                <w:top w:val="none" w:sz="0" w:space="0" w:color="auto"/>
                <w:left w:val="none" w:sz="0" w:space="0" w:color="auto"/>
                <w:bottom w:val="none" w:sz="0" w:space="0" w:color="auto"/>
                <w:right w:val="none" w:sz="0" w:space="0" w:color="auto"/>
              </w:divBdr>
            </w:div>
            <w:div w:id="1324822342">
              <w:marLeft w:val="0"/>
              <w:marRight w:val="0"/>
              <w:marTop w:val="0"/>
              <w:marBottom w:val="0"/>
              <w:divBdr>
                <w:top w:val="none" w:sz="0" w:space="0" w:color="auto"/>
                <w:left w:val="none" w:sz="0" w:space="0" w:color="auto"/>
                <w:bottom w:val="none" w:sz="0" w:space="0" w:color="auto"/>
                <w:right w:val="none" w:sz="0" w:space="0" w:color="auto"/>
              </w:divBdr>
            </w:div>
            <w:div w:id="599071093">
              <w:marLeft w:val="0"/>
              <w:marRight w:val="0"/>
              <w:marTop w:val="0"/>
              <w:marBottom w:val="0"/>
              <w:divBdr>
                <w:top w:val="none" w:sz="0" w:space="0" w:color="auto"/>
                <w:left w:val="none" w:sz="0" w:space="0" w:color="auto"/>
                <w:bottom w:val="none" w:sz="0" w:space="0" w:color="auto"/>
                <w:right w:val="none" w:sz="0" w:space="0" w:color="auto"/>
              </w:divBdr>
            </w:div>
          </w:divsChild>
        </w:div>
        <w:div w:id="506798002">
          <w:marLeft w:val="0"/>
          <w:marRight w:val="0"/>
          <w:marTop w:val="0"/>
          <w:marBottom w:val="0"/>
          <w:divBdr>
            <w:top w:val="none" w:sz="0" w:space="0" w:color="auto"/>
            <w:left w:val="none" w:sz="0" w:space="0" w:color="auto"/>
            <w:bottom w:val="none" w:sz="0" w:space="0" w:color="auto"/>
            <w:right w:val="none" w:sz="0" w:space="0" w:color="auto"/>
          </w:divBdr>
        </w:div>
        <w:div w:id="1222785958">
          <w:marLeft w:val="0"/>
          <w:marRight w:val="0"/>
          <w:marTop w:val="0"/>
          <w:marBottom w:val="0"/>
          <w:divBdr>
            <w:top w:val="none" w:sz="0" w:space="0" w:color="auto"/>
            <w:left w:val="none" w:sz="0" w:space="0" w:color="auto"/>
            <w:bottom w:val="none" w:sz="0" w:space="0" w:color="auto"/>
            <w:right w:val="none" w:sz="0" w:space="0" w:color="auto"/>
          </w:divBdr>
          <w:divsChild>
            <w:div w:id="2019655502">
              <w:marLeft w:val="0"/>
              <w:marRight w:val="0"/>
              <w:marTop w:val="0"/>
              <w:marBottom w:val="0"/>
              <w:divBdr>
                <w:top w:val="none" w:sz="0" w:space="0" w:color="auto"/>
                <w:left w:val="none" w:sz="0" w:space="0" w:color="auto"/>
                <w:bottom w:val="none" w:sz="0" w:space="0" w:color="auto"/>
                <w:right w:val="none" w:sz="0" w:space="0" w:color="auto"/>
              </w:divBdr>
            </w:div>
            <w:div w:id="296380219">
              <w:marLeft w:val="0"/>
              <w:marRight w:val="0"/>
              <w:marTop w:val="0"/>
              <w:marBottom w:val="0"/>
              <w:divBdr>
                <w:top w:val="none" w:sz="0" w:space="0" w:color="auto"/>
                <w:left w:val="none" w:sz="0" w:space="0" w:color="auto"/>
                <w:bottom w:val="none" w:sz="0" w:space="0" w:color="auto"/>
                <w:right w:val="none" w:sz="0" w:space="0" w:color="auto"/>
              </w:divBdr>
            </w:div>
            <w:div w:id="1868133696">
              <w:marLeft w:val="0"/>
              <w:marRight w:val="0"/>
              <w:marTop w:val="0"/>
              <w:marBottom w:val="0"/>
              <w:divBdr>
                <w:top w:val="none" w:sz="0" w:space="0" w:color="auto"/>
                <w:left w:val="none" w:sz="0" w:space="0" w:color="auto"/>
                <w:bottom w:val="none" w:sz="0" w:space="0" w:color="auto"/>
                <w:right w:val="none" w:sz="0" w:space="0" w:color="auto"/>
              </w:divBdr>
            </w:div>
          </w:divsChild>
        </w:div>
        <w:div w:id="988362380">
          <w:marLeft w:val="0"/>
          <w:marRight w:val="0"/>
          <w:marTop w:val="0"/>
          <w:marBottom w:val="0"/>
          <w:divBdr>
            <w:top w:val="none" w:sz="0" w:space="0" w:color="auto"/>
            <w:left w:val="none" w:sz="0" w:space="0" w:color="auto"/>
            <w:bottom w:val="none" w:sz="0" w:space="0" w:color="auto"/>
            <w:right w:val="none" w:sz="0" w:space="0" w:color="auto"/>
          </w:divBdr>
          <w:divsChild>
            <w:div w:id="1814520633">
              <w:marLeft w:val="0"/>
              <w:marRight w:val="0"/>
              <w:marTop w:val="0"/>
              <w:marBottom w:val="0"/>
              <w:divBdr>
                <w:top w:val="none" w:sz="0" w:space="0" w:color="auto"/>
                <w:left w:val="none" w:sz="0" w:space="0" w:color="auto"/>
                <w:bottom w:val="none" w:sz="0" w:space="0" w:color="auto"/>
                <w:right w:val="none" w:sz="0" w:space="0" w:color="auto"/>
              </w:divBdr>
            </w:div>
            <w:div w:id="604926639">
              <w:marLeft w:val="0"/>
              <w:marRight w:val="0"/>
              <w:marTop w:val="0"/>
              <w:marBottom w:val="0"/>
              <w:divBdr>
                <w:top w:val="none" w:sz="0" w:space="0" w:color="auto"/>
                <w:left w:val="none" w:sz="0" w:space="0" w:color="auto"/>
                <w:bottom w:val="none" w:sz="0" w:space="0" w:color="auto"/>
                <w:right w:val="none" w:sz="0" w:space="0" w:color="auto"/>
              </w:divBdr>
            </w:div>
            <w:div w:id="1075977910">
              <w:marLeft w:val="0"/>
              <w:marRight w:val="0"/>
              <w:marTop w:val="0"/>
              <w:marBottom w:val="0"/>
              <w:divBdr>
                <w:top w:val="none" w:sz="0" w:space="0" w:color="auto"/>
                <w:left w:val="none" w:sz="0" w:space="0" w:color="auto"/>
                <w:bottom w:val="none" w:sz="0" w:space="0" w:color="auto"/>
                <w:right w:val="none" w:sz="0" w:space="0" w:color="auto"/>
              </w:divBdr>
            </w:div>
          </w:divsChild>
        </w:div>
        <w:div w:id="1956205083">
          <w:marLeft w:val="0"/>
          <w:marRight w:val="0"/>
          <w:marTop w:val="0"/>
          <w:marBottom w:val="0"/>
          <w:divBdr>
            <w:top w:val="none" w:sz="0" w:space="0" w:color="auto"/>
            <w:left w:val="none" w:sz="0" w:space="0" w:color="auto"/>
            <w:bottom w:val="none" w:sz="0" w:space="0" w:color="auto"/>
            <w:right w:val="none" w:sz="0" w:space="0" w:color="auto"/>
          </w:divBdr>
          <w:divsChild>
            <w:div w:id="724910609">
              <w:marLeft w:val="0"/>
              <w:marRight w:val="0"/>
              <w:marTop w:val="0"/>
              <w:marBottom w:val="0"/>
              <w:divBdr>
                <w:top w:val="none" w:sz="0" w:space="0" w:color="auto"/>
                <w:left w:val="none" w:sz="0" w:space="0" w:color="auto"/>
                <w:bottom w:val="none" w:sz="0" w:space="0" w:color="auto"/>
                <w:right w:val="none" w:sz="0" w:space="0" w:color="auto"/>
              </w:divBdr>
            </w:div>
            <w:div w:id="706299368">
              <w:marLeft w:val="0"/>
              <w:marRight w:val="0"/>
              <w:marTop w:val="0"/>
              <w:marBottom w:val="0"/>
              <w:divBdr>
                <w:top w:val="none" w:sz="0" w:space="0" w:color="auto"/>
                <w:left w:val="none" w:sz="0" w:space="0" w:color="auto"/>
                <w:bottom w:val="none" w:sz="0" w:space="0" w:color="auto"/>
                <w:right w:val="none" w:sz="0" w:space="0" w:color="auto"/>
              </w:divBdr>
            </w:div>
            <w:div w:id="1802916029">
              <w:marLeft w:val="0"/>
              <w:marRight w:val="0"/>
              <w:marTop w:val="0"/>
              <w:marBottom w:val="0"/>
              <w:divBdr>
                <w:top w:val="none" w:sz="0" w:space="0" w:color="auto"/>
                <w:left w:val="none" w:sz="0" w:space="0" w:color="auto"/>
                <w:bottom w:val="none" w:sz="0" w:space="0" w:color="auto"/>
                <w:right w:val="none" w:sz="0" w:space="0" w:color="auto"/>
              </w:divBdr>
            </w:div>
          </w:divsChild>
        </w:div>
        <w:div w:id="1885215839">
          <w:marLeft w:val="0"/>
          <w:marRight w:val="0"/>
          <w:marTop w:val="0"/>
          <w:marBottom w:val="0"/>
          <w:divBdr>
            <w:top w:val="none" w:sz="0" w:space="0" w:color="auto"/>
            <w:left w:val="none" w:sz="0" w:space="0" w:color="auto"/>
            <w:bottom w:val="none" w:sz="0" w:space="0" w:color="auto"/>
            <w:right w:val="none" w:sz="0" w:space="0" w:color="auto"/>
          </w:divBdr>
          <w:divsChild>
            <w:div w:id="1844542863">
              <w:marLeft w:val="0"/>
              <w:marRight w:val="0"/>
              <w:marTop w:val="0"/>
              <w:marBottom w:val="0"/>
              <w:divBdr>
                <w:top w:val="none" w:sz="0" w:space="0" w:color="auto"/>
                <w:left w:val="none" w:sz="0" w:space="0" w:color="auto"/>
                <w:bottom w:val="none" w:sz="0" w:space="0" w:color="auto"/>
                <w:right w:val="none" w:sz="0" w:space="0" w:color="auto"/>
              </w:divBdr>
            </w:div>
            <w:div w:id="378825709">
              <w:marLeft w:val="0"/>
              <w:marRight w:val="0"/>
              <w:marTop w:val="0"/>
              <w:marBottom w:val="0"/>
              <w:divBdr>
                <w:top w:val="none" w:sz="0" w:space="0" w:color="auto"/>
                <w:left w:val="none" w:sz="0" w:space="0" w:color="auto"/>
                <w:bottom w:val="none" w:sz="0" w:space="0" w:color="auto"/>
                <w:right w:val="none" w:sz="0" w:space="0" w:color="auto"/>
              </w:divBdr>
            </w:div>
            <w:div w:id="112748114">
              <w:marLeft w:val="0"/>
              <w:marRight w:val="0"/>
              <w:marTop w:val="0"/>
              <w:marBottom w:val="0"/>
              <w:divBdr>
                <w:top w:val="none" w:sz="0" w:space="0" w:color="auto"/>
                <w:left w:val="none" w:sz="0" w:space="0" w:color="auto"/>
                <w:bottom w:val="none" w:sz="0" w:space="0" w:color="auto"/>
                <w:right w:val="none" w:sz="0" w:space="0" w:color="auto"/>
              </w:divBdr>
            </w:div>
          </w:divsChild>
        </w:div>
        <w:div w:id="1969580502">
          <w:marLeft w:val="0"/>
          <w:marRight w:val="0"/>
          <w:marTop w:val="0"/>
          <w:marBottom w:val="0"/>
          <w:divBdr>
            <w:top w:val="none" w:sz="0" w:space="0" w:color="auto"/>
            <w:left w:val="none" w:sz="0" w:space="0" w:color="auto"/>
            <w:bottom w:val="none" w:sz="0" w:space="0" w:color="auto"/>
            <w:right w:val="none" w:sz="0" w:space="0" w:color="auto"/>
          </w:divBdr>
        </w:div>
        <w:div w:id="1803109657">
          <w:marLeft w:val="0"/>
          <w:marRight w:val="0"/>
          <w:marTop w:val="0"/>
          <w:marBottom w:val="0"/>
          <w:divBdr>
            <w:top w:val="none" w:sz="0" w:space="0" w:color="auto"/>
            <w:left w:val="none" w:sz="0" w:space="0" w:color="auto"/>
            <w:bottom w:val="none" w:sz="0" w:space="0" w:color="auto"/>
            <w:right w:val="none" w:sz="0" w:space="0" w:color="auto"/>
          </w:divBdr>
          <w:divsChild>
            <w:div w:id="1764111677">
              <w:marLeft w:val="0"/>
              <w:marRight w:val="0"/>
              <w:marTop w:val="0"/>
              <w:marBottom w:val="0"/>
              <w:divBdr>
                <w:top w:val="none" w:sz="0" w:space="0" w:color="auto"/>
                <w:left w:val="none" w:sz="0" w:space="0" w:color="auto"/>
                <w:bottom w:val="none" w:sz="0" w:space="0" w:color="auto"/>
                <w:right w:val="none" w:sz="0" w:space="0" w:color="auto"/>
              </w:divBdr>
            </w:div>
            <w:div w:id="232128733">
              <w:marLeft w:val="0"/>
              <w:marRight w:val="0"/>
              <w:marTop w:val="0"/>
              <w:marBottom w:val="0"/>
              <w:divBdr>
                <w:top w:val="none" w:sz="0" w:space="0" w:color="auto"/>
                <w:left w:val="none" w:sz="0" w:space="0" w:color="auto"/>
                <w:bottom w:val="none" w:sz="0" w:space="0" w:color="auto"/>
                <w:right w:val="none" w:sz="0" w:space="0" w:color="auto"/>
              </w:divBdr>
            </w:div>
            <w:div w:id="558631896">
              <w:marLeft w:val="0"/>
              <w:marRight w:val="0"/>
              <w:marTop w:val="0"/>
              <w:marBottom w:val="0"/>
              <w:divBdr>
                <w:top w:val="none" w:sz="0" w:space="0" w:color="auto"/>
                <w:left w:val="none" w:sz="0" w:space="0" w:color="auto"/>
                <w:bottom w:val="none" w:sz="0" w:space="0" w:color="auto"/>
                <w:right w:val="none" w:sz="0" w:space="0" w:color="auto"/>
              </w:divBdr>
            </w:div>
          </w:divsChild>
        </w:div>
        <w:div w:id="1572808261">
          <w:marLeft w:val="0"/>
          <w:marRight w:val="0"/>
          <w:marTop w:val="0"/>
          <w:marBottom w:val="0"/>
          <w:divBdr>
            <w:top w:val="none" w:sz="0" w:space="0" w:color="auto"/>
            <w:left w:val="none" w:sz="0" w:space="0" w:color="auto"/>
            <w:bottom w:val="none" w:sz="0" w:space="0" w:color="auto"/>
            <w:right w:val="none" w:sz="0" w:space="0" w:color="auto"/>
          </w:divBdr>
        </w:div>
        <w:div w:id="1187718410">
          <w:marLeft w:val="0"/>
          <w:marRight w:val="0"/>
          <w:marTop w:val="0"/>
          <w:marBottom w:val="0"/>
          <w:divBdr>
            <w:top w:val="none" w:sz="0" w:space="0" w:color="auto"/>
            <w:left w:val="none" w:sz="0" w:space="0" w:color="auto"/>
            <w:bottom w:val="none" w:sz="0" w:space="0" w:color="auto"/>
            <w:right w:val="none" w:sz="0" w:space="0" w:color="auto"/>
          </w:divBdr>
          <w:divsChild>
            <w:div w:id="935209104">
              <w:marLeft w:val="0"/>
              <w:marRight w:val="0"/>
              <w:marTop w:val="0"/>
              <w:marBottom w:val="0"/>
              <w:divBdr>
                <w:top w:val="none" w:sz="0" w:space="0" w:color="auto"/>
                <w:left w:val="none" w:sz="0" w:space="0" w:color="auto"/>
                <w:bottom w:val="none" w:sz="0" w:space="0" w:color="auto"/>
                <w:right w:val="none" w:sz="0" w:space="0" w:color="auto"/>
              </w:divBdr>
            </w:div>
            <w:div w:id="607154930">
              <w:marLeft w:val="0"/>
              <w:marRight w:val="0"/>
              <w:marTop w:val="0"/>
              <w:marBottom w:val="0"/>
              <w:divBdr>
                <w:top w:val="none" w:sz="0" w:space="0" w:color="auto"/>
                <w:left w:val="none" w:sz="0" w:space="0" w:color="auto"/>
                <w:bottom w:val="none" w:sz="0" w:space="0" w:color="auto"/>
                <w:right w:val="none" w:sz="0" w:space="0" w:color="auto"/>
              </w:divBdr>
            </w:div>
          </w:divsChild>
        </w:div>
        <w:div w:id="257836778">
          <w:marLeft w:val="0"/>
          <w:marRight w:val="0"/>
          <w:marTop w:val="0"/>
          <w:marBottom w:val="0"/>
          <w:divBdr>
            <w:top w:val="none" w:sz="0" w:space="0" w:color="auto"/>
            <w:left w:val="none" w:sz="0" w:space="0" w:color="auto"/>
            <w:bottom w:val="none" w:sz="0" w:space="0" w:color="auto"/>
            <w:right w:val="none" w:sz="0" w:space="0" w:color="auto"/>
          </w:divBdr>
        </w:div>
        <w:div w:id="2088140479">
          <w:marLeft w:val="0"/>
          <w:marRight w:val="0"/>
          <w:marTop w:val="0"/>
          <w:marBottom w:val="0"/>
          <w:divBdr>
            <w:top w:val="none" w:sz="0" w:space="0" w:color="auto"/>
            <w:left w:val="none" w:sz="0" w:space="0" w:color="auto"/>
            <w:bottom w:val="none" w:sz="0" w:space="0" w:color="auto"/>
            <w:right w:val="none" w:sz="0" w:space="0" w:color="auto"/>
          </w:divBdr>
          <w:divsChild>
            <w:div w:id="155613245">
              <w:marLeft w:val="0"/>
              <w:marRight w:val="0"/>
              <w:marTop w:val="0"/>
              <w:marBottom w:val="0"/>
              <w:divBdr>
                <w:top w:val="none" w:sz="0" w:space="0" w:color="auto"/>
                <w:left w:val="none" w:sz="0" w:space="0" w:color="auto"/>
                <w:bottom w:val="none" w:sz="0" w:space="0" w:color="auto"/>
                <w:right w:val="none" w:sz="0" w:space="0" w:color="auto"/>
              </w:divBdr>
            </w:div>
            <w:div w:id="2033215608">
              <w:marLeft w:val="0"/>
              <w:marRight w:val="0"/>
              <w:marTop w:val="0"/>
              <w:marBottom w:val="0"/>
              <w:divBdr>
                <w:top w:val="none" w:sz="0" w:space="0" w:color="auto"/>
                <w:left w:val="none" w:sz="0" w:space="0" w:color="auto"/>
                <w:bottom w:val="none" w:sz="0" w:space="0" w:color="auto"/>
                <w:right w:val="none" w:sz="0" w:space="0" w:color="auto"/>
              </w:divBdr>
            </w:div>
          </w:divsChild>
        </w:div>
        <w:div w:id="1670907227">
          <w:marLeft w:val="0"/>
          <w:marRight w:val="0"/>
          <w:marTop w:val="0"/>
          <w:marBottom w:val="0"/>
          <w:divBdr>
            <w:top w:val="none" w:sz="0" w:space="0" w:color="auto"/>
            <w:left w:val="none" w:sz="0" w:space="0" w:color="auto"/>
            <w:bottom w:val="none" w:sz="0" w:space="0" w:color="auto"/>
            <w:right w:val="none" w:sz="0" w:space="0" w:color="auto"/>
          </w:divBdr>
          <w:divsChild>
            <w:div w:id="170609006">
              <w:marLeft w:val="0"/>
              <w:marRight w:val="0"/>
              <w:marTop w:val="0"/>
              <w:marBottom w:val="0"/>
              <w:divBdr>
                <w:top w:val="none" w:sz="0" w:space="0" w:color="auto"/>
                <w:left w:val="none" w:sz="0" w:space="0" w:color="auto"/>
                <w:bottom w:val="none" w:sz="0" w:space="0" w:color="auto"/>
                <w:right w:val="none" w:sz="0" w:space="0" w:color="auto"/>
              </w:divBdr>
            </w:div>
            <w:div w:id="762724369">
              <w:marLeft w:val="0"/>
              <w:marRight w:val="0"/>
              <w:marTop w:val="0"/>
              <w:marBottom w:val="0"/>
              <w:divBdr>
                <w:top w:val="none" w:sz="0" w:space="0" w:color="auto"/>
                <w:left w:val="none" w:sz="0" w:space="0" w:color="auto"/>
                <w:bottom w:val="none" w:sz="0" w:space="0" w:color="auto"/>
                <w:right w:val="none" w:sz="0" w:space="0" w:color="auto"/>
              </w:divBdr>
            </w:div>
          </w:divsChild>
        </w:div>
        <w:div w:id="1026711113">
          <w:marLeft w:val="0"/>
          <w:marRight w:val="0"/>
          <w:marTop w:val="0"/>
          <w:marBottom w:val="0"/>
          <w:divBdr>
            <w:top w:val="none" w:sz="0" w:space="0" w:color="auto"/>
            <w:left w:val="none" w:sz="0" w:space="0" w:color="auto"/>
            <w:bottom w:val="none" w:sz="0" w:space="0" w:color="auto"/>
            <w:right w:val="none" w:sz="0" w:space="0" w:color="auto"/>
          </w:divBdr>
          <w:divsChild>
            <w:div w:id="1873297235">
              <w:marLeft w:val="0"/>
              <w:marRight w:val="0"/>
              <w:marTop w:val="0"/>
              <w:marBottom w:val="0"/>
              <w:divBdr>
                <w:top w:val="none" w:sz="0" w:space="0" w:color="auto"/>
                <w:left w:val="none" w:sz="0" w:space="0" w:color="auto"/>
                <w:bottom w:val="none" w:sz="0" w:space="0" w:color="auto"/>
                <w:right w:val="none" w:sz="0" w:space="0" w:color="auto"/>
              </w:divBdr>
            </w:div>
            <w:div w:id="1734041164">
              <w:marLeft w:val="0"/>
              <w:marRight w:val="0"/>
              <w:marTop w:val="0"/>
              <w:marBottom w:val="0"/>
              <w:divBdr>
                <w:top w:val="none" w:sz="0" w:space="0" w:color="auto"/>
                <w:left w:val="none" w:sz="0" w:space="0" w:color="auto"/>
                <w:bottom w:val="none" w:sz="0" w:space="0" w:color="auto"/>
                <w:right w:val="none" w:sz="0" w:space="0" w:color="auto"/>
              </w:divBdr>
            </w:div>
          </w:divsChild>
        </w:div>
        <w:div w:id="750125509">
          <w:marLeft w:val="0"/>
          <w:marRight w:val="0"/>
          <w:marTop w:val="0"/>
          <w:marBottom w:val="0"/>
          <w:divBdr>
            <w:top w:val="none" w:sz="0" w:space="0" w:color="auto"/>
            <w:left w:val="none" w:sz="0" w:space="0" w:color="auto"/>
            <w:bottom w:val="none" w:sz="0" w:space="0" w:color="auto"/>
            <w:right w:val="none" w:sz="0" w:space="0" w:color="auto"/>
          </w:divBdr>
        </w:div>
        <w:div w:id="1307246614">
          <w:marLeft w:val="0"/>
          <w:marRight w:val="0"/>
          <w:marTop w:val="0"/>
          <w:marBottom w:val="0"/>
          <w:divBdr>
            <w:top w:val="none" w:sz="0" w:space="0" w:color="auto"/>
            <w:left w:val="none" w:sz="0" w:space="0" w:color="auto"/>
            <w:bottom w:val="none" w:sz="0" w:space="0" w:color="auto"/>
            <w:right w:val="none" w:sz="0" w:space="0" w:color="auto"/>
          </w:divBdr>
          <w:divsChild>
            <w:div w:id="1691949887">
              <w:marLeft w:val="0"/>
              <w:marRight w:val="0"/>
              <w:marTop w:val="0"/>
              <w:marBottom w:val="0"/>
              <w:divBdr>
                <w:top w:val="none" w:sz="0" w:space="0" w:color="auto"/>
                <w:left w:val="none" w:sz="0" w:space="0" w:color="auto"/>
                <w:bottom w:val="none" w:sz="0" w:space="0" w:color="auto"/>
                <w:right w:val="none" w:sz="0" w:space="0" w:color="auto"/>
              </w:divBdr>
            </w:div>
            <w:div w:id="1125536509">
              <w:marLeft w:val="0"/>
              <w:marRight w:val="0"/>
              <w:marTop w:val="0"/>
              <w:marBottom w:val="0"/>
              <w:divBdr>
                <w:top w:val="none" w:sz="0" w:space="0" w:color="auto"/>
                <w:left w:val="none" w:sz="0" w:space="0" w:color="auto"/>
                <w:bottom w:val="none" w:sz="0" w:space="0" w:color="auto"/>
                <w:right w:val="none" w:sz="0" w:space="0" w:color="auto"/>
              </w:divBdr>
            </w:div>
          </w:divsChild>
        </w:div>
        <w:div w:id="1219827438">
          <w:marLeft w:val="0"/>
          <w:marRight w:val="0"/>
          <w:marTop w:val="0"/>
          <w:marBottom w:val="0"/>
          <w:divBdr>
            <w:top w:val="none" w:sz="0" w:space="0" w:color="auto"/>
            <w:left w:val="none" w:sz="0" w:space="0" w:color="auto"/>
            <w:bottom w:val="none" w:sz="0" w:space="0" w:color="auto"/>
            <w:right w:val="none" w:sz="0" w:space="0" w:color="auto"/>
          </w:divBdr>
        </w:div>
        <w:div w:id="1880969042">
          <w:marLeft w:val="0"/>
          <w:marRight w:val="0"/>
          <w:marTop w:val="0"/>
          <w:marBottom w:val="0"/>
          <w:divBdr>
            <w:top w:val="none" w:sz="0" w:space="0" w:color="auto"/>
            <w:left w:val="none" w:sz="0" w:space="0" w:color="auto"/>
            <w:bottom w:val="none" w:sz="0" w:space="0" w:color="auto"/>
            <w:right w:val="none" w:sz="0" w:space="0" w:color="auto"/>
          </w:divBdr>
          <w:divsChild>
            <w:div w:id="632246823">
              <w:marLeft w:val="0"/>
              <w:marRight w:val="0"/>
              <w:marTop w:val="0"/>
              <w:marBottom w:val="0"/>
              <w:divBdr>
                <w:top w:val="none" w:sz="0" w:space="0" w:color="auto"/>
                <w:left w:val="none" w:sz="0" w:space="0" w:color="auto"/>
                <w:bottom w:val="none" w:sz="0" w:space="0" w:color="auto"/>
                <w:right w:val="none" w:sz="0" w:space="0" w:color="auto"/>
              </w:divBdr>
            </w:div>
            <w:div w:id="1428889171">
              <w:marLeft w:val="0"/>
              <w:marRight w:val="0"/>
              <w:marTop w:val="0"/>
              <w:marBottom w:val="0"/>
              <w:divBdr>
                <w:top w:val="none" w:sz="0" w:space="0" w:color="auto"/>
                <w:left w:val="none" w:sz="0" w:space="0" w:color="auto"/>
                <w:bottom w:val="none" w:sz="0" w:space="0" w:color="auto"/>
                <w:right w:val="none" w:sz="0" w:space="0" w:color="auto"/>
              </w:divBdr>
            </w:div>
          </w:divsChild>
        </w:div>
        <w:div w:id="1576087660">
          <w:marLeft w:val="0"/>
          <w:marRight w:val="0"/>
          <w:marTop w:val="0"/>
          <w:marBottom w:val="0"/>
          <w:divBdr>
            <w:top w:val="none" w:sz="0" w:space="0" w:color="auto"/>
            <w:left w:val="none" w:sz="0" w:space="0" w:color="auto"/>
            <w:bottom w:val="none" w:sz="0" w:space="0" w:color="auto"/>
            <w:right w:val="none" w:sz="0" w:space="0" w:color="auto"/>
          </w:divBdr>
          <w:divsChild>
            <w:div w:id="768622952">
              <w:marLeft w:val="0"/>
              <w:marRight w:val="0"/>
              <w:marTop w:val="0"/>
              <w:marBottom w:val="0"/>
              <w:divBdr>
                <w:top w:val="none" w:sz="0" w:space="0" w:color="auto"/>
                <w:left w:val="none" w:sz="0" w:space="0" w:color="auto"/>
                <w:bottom w:val="none" w:sz="0" w:space="0" w:color="auto"/>
                <w:right w:val="none" w:sz="0" w:space="0" w:color="auto"/>
              </w:divBdr>
            </w:div>
            <w:div w:id="529758232">
              <w:marLeft w:val="0"/>
              <w:marRight w:val="0"/>
              <w:marTop w:val="0"/>
              <w:marBottom w:val="0"/>
              <w:divBdr>
                <w:top w:val="none" w:sz="0" w:space="0" w:color="auto"/>
                <w:left w:val="none" w:sz="0" w:space="0" w:color="auto"/>
                <w:bottom w:val="none" w:sz="0" w:space="0" w:color="auto"/>
                <w:right w:val="none" w:sz="0" w:space="0" w:color="auto"/>
              </w:divBdr>
            </w:div>
          </w:divsChild>
        </w:div>
        <w:div w:id="974676186">
          <w:marLeft w:val="0"/>
          <w:marRight w:val="0"/>
          <w:marTop w:val="0"/>
          <w:marBottom w:val="0"/>
          <w:divBdr>
            <w:top w:val="none" w:sz="0" w:space="0" w:color="auto"/>
            <w:left w:val="none" w:sz="0" w:space="0" w:color="auto"/>
            <w:bottom w:val="none" w:sz="0" w:space="0" w:color="auto"/>
            <w:right w:val="none" w:sz="0" w:space="0" w:color="auto"/>
          </w:divBdr>
          <w:divsChild>
            <w:div w:id="1091392058">
              <w:marLeft w:val="0"/>
              <w:marRight w:val="0"/>
              <w:marTop w:val="0"/>
              <w:marBottom w:val="0"/>
              <w:divBdr>
                <w:top w:val="none" w:sz="0" w:space="0" w:color="auto"/>
                <w:left w:val="none" w:sz="0" w:space="0" w:color="auto"/>
                <w:bottom w:val="none" w:sz="0" w:space="0" w:color="auto"/>
                <w:right w:val="none" w:sz="0" w:space="0" w:color="auto"/>
              </w:divBdr>
            </w:div>
            <w:div w:id="717969249">
              <w:marLeft w:val="0"/>
              <w:marRight w:val="0"/>
              <w:marTop w:val="0"/>
              <w:marBottom w:val="0"/>
              <w:divBdr>
                <w:top w:val="none" w:sz="0" w:space="0" w:color="auto"/>
                <w:left w:val="none" w:sz="0" w:space="0" w:color="auto"/>
                <w:bottom w:val="none" w:sz="0" w:space="0" w:color="auto"/>
                <w:right w:val="none" w:sz="0" w:space="0" w:color="auto"/>
              </w:divBdr>
            </w:div>
          </w:divsChild>
        </w:div>
        <w:div w:id="1023362195">
          <w:marLeft w:val="0"/>
          <w:marRight w:val="0"/>
          <w:marTop w:val="0"/>
          <w:marBottom w:val="0"/>
          <w:divBdr>
            <w:top w:val="none" w:sz="0" w:space="0" w:color="auto"/>
            <w:left w:val="none" w:sz="0" w:space="0" w:color="auto"/>
            <w:bottom w:val="none" w:sz="0" w:space="0" w:color="auto"/>
            <w:right w:val="none" w:sz="0" w:space="0" w:color="auto"/>
          </w:divBdr>
        </w:div>
        <w:div w:id="980767102">
          <w:marLeft w:val="0"/>
          <w:marRight w:val="0"/>
          <w:marTop w:val="0"/>
          <w:marBottom w:val="0"/>
          <w:divBdr>
            <w:top w:val="none" w:sz="0" w:space="0" w:color="auto"/>
            <w:left w:val="none" w:sz="0" w:space="0" w:color="auto"/>
            <w:bottom w:val="none" w:sz="0" w:space="0" w:color="auto"/>
            <w:right w:val="none" w:sz="0" w:space="0" w:color="auto"/>
          </w:divBdr>
          <w:divsChild>
            <w:div w:id="1477213306">
              <w:marLeft w:val="0"/>
              <w:marRight w:val="0"/>
              <w:marTop w:val="0"/>
              <w:marBottom w:val="0"/>
              <w:divBdr>
                <w:top w:val="none" w:sz="0" w:space="0" w:color="auto"/>
                <w:left w:val="none" w:sz="0" w:space="0" w:color="auto"/>
                <w:bottom w:val="none" w:sz="0" w:space="0" w:color="auto"/>
                <w:right w:val="none" w:sz="0" w:space="0" w:color="auto"/>
              </w:divBdr>
            </w:div>
            <w:div w:id="2012636932">
              <w:marLeft w:val="0"/>
              <w:marRight w:val="0"/>
              <w:marTop w:val="0"/>
              <w:marBottom w:val="0"/>
              <w:divBdr>
                <w:top w:val="none" w:sz="0" w:space="0" w:color="auto"/>
                <w:left w:val="none" w:sz="0" w:space="0" w:color="auto"/>
                <w:bottom w:val="none" w:sz="0" w:space="0" w:color="auto"/>
                <w:right w:val="none" w:sz="0" w:space="0" w:color="auto"/>
              </w:divBdr>
            </w:div>
          </w:divsChild>
        </w:div>
        <w:div w:id="1926067544">
          <w:marLeft w:val="0"/>
          <w:marRight w:val="0"/>
          <w:marTop w:val="0"/>
          <w:marBottom w:val="0"/>
          <w:divBdr>
            <w:top w:val="none" w:sz="0" w:space="0" w:color="auto"/>
            <w:left w:val="none" w:sz="0" w:space="0" w:color="auto"/>
            <w:bottom w:val="none" w:sz="0" w:space="0" w:color="auto"/>
            <w:right w:val="none" w:sz="0" w:space="0" w:color="auto"/>
          </w:divBdr>
          <w:divsChild>
            <w:div w:id="2089573990">
              <w:marLeft w:val="0"/>
              <w:marRight w:val="0"/>
              <w:marTop w:val="0"/>
              <w:marBottom w:val="0"/>
              <w:divBdr>
                <w:top w:val="none" w:sz="0" w:space="0" w:color="auto"/>
                <w:left w:val="none" w:sz="0" w:space="0" w:color="auto"/>
                <w:bottom w:val="none" w:sz="0" w:space="0" w:color="auto"/>
                <w:right w:val="none" w:sz="0" w:space="0" w:color="auto"/>
              </w:divBdr>
            </w:div>
            <w:div w:id="456488301">
              <w:marLeft w:val="0"/>
              <w:marRight w:val="0"/>
              <w:marTop w:val="0"/>
              <w:marBottom w:val="0"/>
              <w:divBdr>
                <w:top w:val="none" w:sz="0" w:space="0" w:color="auto"/>
                <w:left w:val="none" w:sz="0" w:space="0" w:color="auto"/>
                <w:bottom w:val="none" w:sz="0" w:space="0" w:color="auto"/>
                <w:right w:val="none" w:sz="0" w:space="0" w:color="auto"/>
              </w:divBdr>
            </w:div>
          </w:divsChild>
        </w:div>
        <w:div w:id="1714961372">
          <w:marLeft w:val="0"/>
          <w:marRight w:val="0"/>
          <w:marTop w:val="0"/>
          <w:marBottom w:val="0"/>
          <w:divBdr>
            <w:top w:val="none" w:sz="0" w:space="0" w:color="auto"/>
            <w:left w:val="none" w:sz="0" w:space="0" w:color="auto"/>
            <w:bottom w:val="none" w:sz="0" w:space="0" w:color="auto"/>
            <w:right w:val="none" w:sz="0" w:space="0" w:color="auto"/>
          </w:divBdr>
        </w:div>
        <w:div w:id="1441947616">
          <w:marLeft w:val="0"/>
          <w:marRight w:val="0"/>
          <w:marTop w:val="0"/>
          <w:marBottom w:val="0"/>
          <w:divBdr>
            <w:top w:val="none" w:sz="0" w:space="0" w:color="auto"/>
            <w:left w:val="none" w:sz="0" w:space="0" w:color="auto"/>
            <w:bottom w:val="none" w:sz="0" w:space="0" w:color="auto"/>
            <w:right w:val="none" w:sz="0" w:space="0" w:color="auto"/>
          </w:divBdr>
          <w:divsChild>
            <w:div w:id="47337876">
              <w:marLeft w:val="0"/>
              <w:marRight w:val="0"/>
              <w:marTop w:val="0"/>
              <w:marBottom w:val="0"/>
              <w:divBdr>
                <w:top w:val="none" w:sz="0" w:space="0" w:color="auto"/>
                <w:left w:val="none" w:sz="0" w:space="0" w:color="auto"/>
                <w:bottom w:val="none" w:sz="0" w:space="0" w:color="auto"/>
                <w:right w:val="none" w:sz="0" w:space="0" w:color="auto"/>
              </w:divBdr>
            </w:div>
            <w:div w:id="745961699">
              <w:marLeft w:val="0"/>
              <w:marRight w:val="0"/>
              <w:marTop w:val="0"/>
              <w:marBottom w:val="0"/>
              <w:divBdr>
                <w:top w:val="none" w:sz="0" w:space="0" w:color="auto"/>
                <w:left w:val="none" w:sz="0" w:space="0" w:color="auto"/>
                <w:bottom w:val="none" w:sz="0" w:space="0" w:color="auto"/>
                <w:right w:val="none" w:sz="0" w:space="0" w:color="auto"/>
              </w:divBdr>
            </w:div>
          </w:divsChild>
        </w:div>
        <w:div w:id="907612501">
          <w:marLeft w:val="0"/>
          <w:marRight w:val="0"/>
          <w:marTop w:val="0"/>
          <w:marBottom w:val="0"/>
          <w:divBdr>
            <w:top w:val="none" w:sz="0" w:space="0" w:color="auto"/>
            <w:left w:val="none" w:sz="0" w:space="0" w:color="auto"/>
            <w:bottom w:val="none" w:sz="0" w:space="0" w:color="auto"/>
            <w:right w:val="none" w:sz="0" w:space="0" w:color="auto"/>
          </w:divBdr>
        </w:div>
        <w:div w:id="1678967394">
          <w:marLeft w:val="0"/>
          <w:marRight w:val="0"/>
          <w:marTop w:val="0"/>
          <w:marBottom w:val="0"/>
          <w:divBdr>
            <w:top w:val="none" w:sz="0" w:space="0" w:color="auto"/>
            <w:left w:val="none" w:sz="0" w:space="0" w:color="auto"/>
            <w:bottom w:val="none" w:sz="0" w:space="0" w:color="auto"/>
            <w:right w:val="none" w:sz="0" w:space="0" w:color="auto"/>
          </w:divBdr>
          <w:divsChild>
            <w:div w:id="149716733">
              <w:marLeft w:val="0"/>
              <w:marRight w:val="0"/>
              <w:marTop w:val="0"/>
              <w:marBottom w:val="0"/>
              <w:divBdr>
                <w:top w:val="none" w:sz="0" w:space="0" w:color="auto"/>
                <w:left w:val="none" w:sz="0" w:space="0" w:color="auto"/>
                <w:bottom w:val="none" w:sz="0" w:space="0" w:color="auto"/>
                <w:right w:val="none" w:sz="0" w:space="0" w:color="auto"/>
              </w:divBdr>
            </w:div>
            <w:div w:id="1683436820">
              <w:marLeft w:val="0"/>
              <w:marRight w:val="0"/>
              <w:marTop w:val="0"/>
              <w:marBottom w:val="0"/>
              <w:divBdr>
                <w:top w:val="none" w:sz="0" w:space="0" w:color="auto"/>
                <w:left w:val="none" w:sz="0" w:space="0" w:color="auto"/>
                <w:bottom w:val="none" w:sz="0" w:space="0" w:color="auto"/>
                <w:right w:val="none" w:sz="0" w:space="0" w:color="auto"/>
              </w:divBdr>
            </w:div>
          </w:divsChild>
        </w:div>
        <w:div w:id="1651861554">
          <w:marLeft w:val="0"/>
          <w:marRight w:val="0"/>
          <w:marTop w:val="0"/>
          <w:marBottom w:val="0"/>
          <w:divBdr>
            <w:top w:val="none" w:sz="0" w:space="0" w:color="auto"/>
            <w:left w:val="none" w:sz="0" w:space="0" w:color="auto"/>
            <w:bottom w:val="none" w:sz="0" w:space="0" w:color="auto"/>
            <w:right w:val="none" w:sz="0" w:space="0" w:color="auto"/>
          </w:divBdr>
          <w:divsChild>
            <w:div w:id="31460183">
              <w:marLeft w:val="0"/>
              <w:marRight w:val="0"/>
              <w:marTop w:val="0"/>
              <w:marBottom w:val="0"/>
              <w:divBdr>
                <w:top w:val="none" w:sz="0" w:space="0" w:color="auto"/>
                <w:left w:val="none" w:sz="0" w:space="0" w:color="auto"/>
                <w:bottom w:val="none" w:sz="0" w:space="0" w:color="auto"/>
                <w:right w:val="none" w:sz="0" w:space="0" w:color="auto"/>
              </w:divBdr>
            </w:div>
            <w:div w:id="652559998">
              <w:marLeft w:val="0"/>
              <w:marRight w:val="0"/>
              <w:marTop w:val="0"/>
              <w:marBottom w:val="0"/>
              <w:divBdr>
                <w:top w:val="none" w:sz="0" w:space="0" w:color="auto"/>
                <w:left w:val="none" w:sz="0" w:space="0" w:color="auto"/>
                <w:bottom w:val="none" w:sz="0" w:space="0" w:color="auto"/>
                <w:right w:val="none" w:sz="0" w:space="0" w:color="auto"/>
              </w:divBdr>
            </w:div>
          </w:divsChild>
        </w:div>
        <w:div w:id="1728407522">
          <w:marLeft w:val="0"/>
          <w:marRight w:val="0"/>
          <w:marTop w:val="0"/>
          <w:marBottom w:val="0"/>
          <w:divBdr>
            <w:top w:val="none" w:sz="0" w:space="0" w:color="auto"/>
            <w:left w:val="none" w:sz="0" w:space="0" w:color="auto"/>
            <w:bottom w:val="none" w:sz="0" w:space="0" w:color="auto"/>
            <w:right w:val="none" w:sz="0" w:space="0" w:color="auto"/>
          </w:divBdr>
        </w:div>
        <w:div w:id="975334643">
          <w:marLeft w:val="0"/>
          <w:marRight w:val="0"/>
          <w:marTop w:val="0"/>
          <w:marBottom w:val="0"/>
          <w:divBdr>
            <w:top w:val="none" w:sz="0" w:space="0" w:color="auto"/>
            <w:left w:val="none" w:sz="0" w:space="0" w:color="auto"/>
            <w:bottom w:val="none" w:sz="0" w:space="0" w:color="auto"/>
            <w:right w:val="none" w:sz="0" w:space="0" w:color="auto"/>
          </w:divBdr>
          <w:divsChild>
            <w:div w:id="1923755642">
              <w:marLeft w:val="0"/>
              <w:marRight w:val="0"/>
              <w:marTop w:val="0"/>
              <w:marBottom w:val="0"/>
              <w:divBdr>
                <w:top w:val="none" w:sz="0" w:space="0" w:color="auto"/>
                <w:left w:val="none" w:sz="0" w:space="0" w:color="auto"/>
                <w:bottom w:val="none" w:sz="0" w:space="0" w:color="auto"/>
                <w:right w:val="none" w:sz="0" w:space="0" w:color="auto"/>
              </w:divBdr>
            </w:div>
            <w:div w:id="599799670">
              <w:marLeft w:val="0"/>
              <w:marRight w:val="0"/>
              <w:marTop w:val="0"/>
              <w:marBottom w:val="0"/>
              <w:divBdr>
                <w:top w:val="none" w:sz="0" w:space="0" w:color="auto"/>
                <w:left w:val="none" w:sz="0" w:space="0" w:color="auto"/>
                <w:bottom w:val="none" w:sz="0" w:space="0" w:color="auto"/>
                <w:right w:val="none" w:sz="0" w:space="0" w:color="auto"/>
              </w:divBdr>
            </w:div>
          </w:divsChild>
        </w:div>
        <w:div w:id="1182890778">
          <w:marLeft w:val="0"/>
          <w:marRight w:val="0"/>
          <w:marTop w:val="0"/>
          <w:marBottom w:val="0"/>
          <w:divBdr>
            <w:top w:val="none" w:sz="0" w:space="0" w:color="auto"/>
            <w:left w:val="none" w:sz="0" w:space="0" w:color="auto"/>
            <w:bottom w:val="none" w:sz="0" w:space="0" w:color="auto"/>
            <w:right w:val="none" w:sz="0" w:space="0" w:color="auto"/>
          </w:divBdr>
          <w:divsChild>
            <w:div w:id="1454178659">
              <w:marLeft w:val="0"/>
              <w:marRight w:val="0"/>
              <w:marTop w:val="0"/>
              <w:marBottom w:val="0"/>
              <w:divBdr>
                <w:top w:val="none" w:sz="0" w:space="0" w:color="auto"/>
                <w:left w:val="none" w:sz="0" w:space="0" w:color="auto"/>
                <w:bottom w:val="none" w:sz="0" w:space="0" w:color="auto"/>
                <w:right w:val="none" w:sz="0" w:space="0" w:color="auto"/>
              </w:divBdr>
            </w:div>
            <w:div w:id="904952349">
              <w:marLeft w:val="0"/>
              <w:marRight w:val="0"/>
              <w:marTop w:val="0"/>
              <w:marBottom w:val="0"/>
              <w:divBdr>
                <w:top w:val="none" w:sz="0" w:space="0" w:color="auto"/>
                <w:left w:val="none" w:sz="0" w:space="0" w:color="auto"/>
                <w:bottom w:val="none" w:sz="0" w:space="0" w:color="auto"/>
                <w:right w:val="none" w:sz="0" w:space="0" w:color="auto"/>
              </w:divBdr>
            </w:div>
          </w:divsChild>
        </w:div>
        <w:div w:id="1414933228">
          <w:marLeft w:val="0"/>
          <w:marRight w:val="0"/>
          <w:marTop w:val="0"/>
          <w:marBottom w:val="0"/>
          <w:divBdr>
            <w:top w:val="none" w:sz="0" w:space="0" w:color="auto"/>
            <w:left w:val="none" w:sz="0" w:space="0" w:color="auto"/>
            <w:bottom w:val="none" w:sz="0" w:space="0" w:color="auto"/>
            <w:right w:val="none" w:sz="0" w:space="0" w:color="auto"/>
          </w:divBdr>
          <w:divsChild>
            <w:div w:id="1080643426">
              <w:marLeft w:val="0"/>
              <w:marRight w:val="0"/>
              <w:marTop w:val="0"/>
              <w:marBottom w:val="0"/>
              <w:divBdr>
                <w:top w:val="none" w:sz="0" w:space="0" w:color="auto"/>
                <w:left w:val="none" w:sz="0" w:space="0" w:color="auto"/>
                <w:bottom w:val="none" w:sz="0" w:space="0" w:color="auto"/>
                <w:right w:val="none" w:sz="0" w:space="0" w:color="auto"/>
              </w:divBdr>
            </w:div>
            <w:div w:id="218169933">
              <w:marLeft w:val="0"/>
              <w:marRight w:val="0"/>
              <w:marTop w:val="0"/>
              <w:marBottom w:val="0"/>
              <w:divBdr>
                <w:top w:val="none" w:sz="0" w:space="0" w:color="auto"/>
                <w:left w:val="none" w:sz="0" w:space="0" w:color="auto"/>
                <w:bottom w:val="none" w:sz="0" w:space="0" w:color="auto"/>
                <w:right w:val="none" w:sz="0" w:space="0" w:color="auto"/>
              </w:divBdr>
            </w:div>
          </w:divsChild>
        </w:div>
        <w:div w:id="653608726">
          <w:marLeft w:val="0"/>
          <w:marRight w:val="0"/>
          <w:marTop w:val="0"/>
          <w:marBottom w:val="0"/>
          <w:divBdr>
            <w:top w:val="none" w:sz="0" w:space="0" w:color="auto"/>
            <w:left w:val="none" w:sz="0" w:space="0" w:color="auto"/>
            <w:bottom w:val="none" w:sz="0" w:space="0" w:color="auto"/>
            <w:right w:val="none" w:sz="0" w:space="0" w:color="auto"/>
          </w:divBdr>
        </w:div>
        <w:div w:id="992180272">
          <w:marLeft w:val="0"/>
          <w:marRight w:val="0"/>
          <w:marTop w:val="0"/>
          <w:marBottom w:val="0"/>
          <w:divBdr>
            <w:top w:val="none" w:sz="0" w:space="0" w:color="auto"/>
            <w:left w:val="none" w:sz="0" w:space="0" w:color="auto"/>
            <w:bottom w:val="none" w:sz="0" w:space="0" w:color="auto"/>
            <w:right w:val="none" w:sz="0" w:space="0" w:color="auto"/>
          </w:divBdr>
          <w:divsChild>
            <w:div w:id="684483952">
              <w:marLeft w:val="0"/>
              <w:marRight w:val="0"/>
              <w:marTop w:val="0"/>
              <w:marBottom w:val="0"/>
              <w:divBdr>
                <w:top w:val="none" w:sz="0" w:space="0" w:color="auto"/>
                <w:left w:val="none" w:sz="0" w:space="0" w:color="auto"/>
                <w:bottom w:val="none" w:sz="0" w:space="0" w:color="auto"/>
                <w:right w:val="none" w:sz="0" w:space="0" w:color="auto"/>
              </w:divBdr>
            </w:div>
            <w:div w:id="587153317">
              <w:marLeft w:val="0"/>
              <w:marRight w:val="0"/>
              <w:marTop w:val="0"/>
              <w:marBottom w:val="0"/>
              <w:divBdr>
                <w:top w:val="none" w:sz="0" w:space="0" w:color="auto"/>
                <w:left w:val="none" w:sz="0" w:space="0" w:color="auto"/>
                <w:bottom w:val="none" w:sz="0" w:space="0" w:color="auto"/>
                <w:right w:val="none" w:sz="0" w:space="0" w:color="auto"/>
              </w:divBdr>
            </w:div>
          </w:divsChild>
        </w:div>
        <w:div w:id="1720013653">
          <w:marLeft w:val="0"/>
          <w:marRight w:val="0"/>
          <w:marTop w:val="0"/>
          <w:marBottom w:val="0"/>
          <w:divBdr>
            <w:top w:val="none" w:sz="0" w:space="0" w:color="auto"/>
            <w:left w:val="none" w:sz="0" w:space="0" w:color="auto"/>
            <w:bottom w:val="none" w:sz="0" w:space="0" w:color="auto"/>
            <w:right w:val="none" w:sz="0" w:space="0" w:color="auto"/>
          </w:divBdr>
        </w:div>
        <w:div w:id="2128163096">
          <w:marLeft w:val="0"/>
          <w:marRight w:val="0"/>
          <w:marTop w:val="0"/>
          <w:marBottom w:val="0"/>
          <w:divBdr>
            <w:top w:val="none" w:sz="0" w:space="0" w:color="auto"/>
            <w:left w:val="none" w:sz="0" w:space="0" w:color="auto"/>
            <w:bottom w:val="none" w:sz="0" w:space="0" w:color="auto"/>
            <w:right w:val="none" w:sz="0" w:space="0" w:color="auto"/>
          </w:divBdr>
          <w:divsChild>
            <w:div w:id="77100806">
              <w:marLeft w:val="0"/>
              <w:marRight w:val="0"/>
              <w:marTop w:val="0"/>
              <w:marBottom w:val="0"/>
              <w:divBdr>
                <w:top w:val="none" w:sz="0" w:space="0" w:color="auto"/>
                <w:left w:val="none" w:sz="0" w:space="0" w:color="auto"/>
                <w:bottom w:val="none" w:sz="0" w:space="0" w:color="auto"/>
                <w:right w:val="none" w:sz="0" w:space="0" w:color="auto"/>
              </w:divBdr>
            </w:div>
            <w:div w:id="1217080860">
              <w:marLeft w:val="0"/>
              <w:marRight w:val="0"/>
              <w:marTop w:val="0"/>
              <w:marBottom w:val="0"/>
              <w:divBdr>
                <w:top w:val="none" w:sz="0" w:space="0" w:color="auto"/>
                <w:left w:val="none" w:sz="0" w:space="0" w:color="auto"/>
                <w:bottom w:val="none" w:sz="0" w:space="0" w:color="auto"/>
                <w:right w:val="none" w:sz="0" w:space="0" w:color="auto"/>
              </w:divBdr>
            </w:div>
          </w:divsChild>
        </w:div>
        <w:div w:id="1034111697">
          <w:marLeft w:val="0"/>
          <w:marRight w:val="0"/>
          <w:marTop w:val="0"/>
          <w:marBottom w:val="0"/>
          <w:divBdr>
            <w:top w:val="none" w:sz="0" w:space="0" w:color="auto"/>
            <w:left w:val="none" w:sz="0" w:space="0" w:color="auto"/>
            <w:bottom w:val="none" w:sz="0" w:space="0" w:color="auto"/>
            <w:right w:val="none" w:sz="0" w:space="0" w:color="auto"/>
          </w:divBdr>
          <w:divsChild>
            <w:div w:id="1818495903">
              <w:marLeft w:val="0"/>
              <w:marRight w:val="0"/>
              <w:marTop w:val="0"/>
              <w:marBottom w:val="0"/>
              <w:divBdr>
                <w:top w:val="none" w:sz="0" w:space="0" w:color="auto"/>
                <w:left w:val="none" w:sz="0" w:space="0" w:color="auto"/>
                <w:bottom w:val="none" w:sz="0" w:space="0" w:color="auto"/>
                <w:right w:val="none" w:sz="0" w:space="0" w:color="auto"/>
              </w:divBdr>
            </w:div>
            <w:div w:id="1424033263">
              <w:marLeft w:val="0"/>
              <w:marRight w:val="0"/>
              <w:marTop w:val="0"/>
              <w:marBottom w:val="0"/>
              <w:divBdr>
                <w:top w:val="none" w:sz="0" w:space="0" w:color="auto"/>
                <w:left w:val="none" w:sz="0" w:space="0" w:color="auto"/>
                <w:bottom w:val="none" w:sz="0" w:space="0" w:color="auto"/>
                <w:right w:val="none" w:sz="0" w:space="0" w:color="auto"/>
              </w:divBdr>
            </w:div>
          </w:divsChild>
        </w:div>
        <w:div w:id="1417751961">
          <w:marLeft w:val="0"/>
          <w:marRight w:val="0"/>
          <w:marTop w:val="0"/>
          <w:marBottom w:val="0"/>
          <w:divBdr>
            <w:top w:val="none" w:sz="0" w:space="0" w:color="auto"/>
            <w:left w:val="none" w:sz="0" w:space="0" w:color="auto"/>
            <w:bottom w:val="none" w:sz="0" w:space="0" w:color="auto"/>
            <w:right w:val="none" w:sz="0" w:space="0" w:color="auto"/>
          </w:divBdr>
        </w:div>
        <w:div w:id="50927122">
          <w:marLeft w:val="0"/>
          <w:marRight w:val="0"/>
          <w:marTop w:val="0"/>
          <w:marBottom w:val="0"/>
          <w:divBdr>
            <w:top w:val="none" w:sz="0" w:space="0" w:color="auto"/>
            <w:left w:val="none" w:sz="0" w:space="0" w:color="auto"/>
            <w:bottom w:val="none" w:sz="0" w:space="0" w:color="auto"/>
            <w:right w:val="none" w:sz="0" w:space="0" w:color="auto"/>
          </w:divBdr>
          <w:divsChild>
            <w:div w:id="1466966572">
              <w:marLeft w:val="0"/>
              <w:marRight w:val="0"/>
              <w:marTop w:val="0"/>
              <w:marBottom w:val="0"/>
              <w:divBdr>
                <w:top w:val="none" w:sz="0" w:space="0" w:color="auto"/>
                <w:left w:val="none" w:sz="0" w:space="0" w:color="auto"/>
                <w:bottom w:val="none" w:sz="0" w:space="0" w:color="auto"/>
                <w:right w:val="none" w:sz="0" w:space="0" w:color="auto"/>
              </w:divBdr>
            </w:div>
            <w:div w:id="2119325392">
              <w:marLeft w:val="0"/>
              <w:marRight w:val="0"/>
              <w:marTop w:val="0"/>
              <w:marBottom w:val="0"/>
              <w:divBdr>
                <w:top w:val="none" w:sz="0" w:space="0" w:color="auto"/>
                <w:left w:val="none" w:sz="0" w:space="0" w:color="auto"/>
                <w:bottom w:val="none" w:sz="0" w:space="0" w:color="auto"/>
                <w:right w:val="none" w:sz="0" w:space="0" w:color="auto"/>
              </w:divBdr>
            </w:div>
          </w:divsChild>
        </w:div>
        <w:div w:id="1755781582">
          <w:marLeft w:val="0"/>
          <w:marRight w:val="0"/>
          <w:marTop w:val="0"/>
          <w:marBottom w:val="0"/>
          <w:divBdr>
            <w:top w:val="none" w:sz="0" w:space="0" w:color="auto"/>
            <w:left w:val="none" w:sz="0" w:space="0" w:color="auto"/>
            <w:bottom w:val="none" w:sz="0" w:space="0" w:color="auto"/>
            <w:right w:val="none" w:sz="0" w:space="0" w:color="auto"/>
          </w:divBdr>
          <w:divsChild>
            <w:div w:id="902183191">
              <w:marLeft w:val="0"/>
              <w:marRight w:val="0"/>
              <w:marTop w:val="0"/>
              <w:marBottom w:val="0"/>
              <w:divBdr>
                <w:top w:val="none" w:sz="0" w:space="0" w:color="auto"/>
                <w:left w:val="none" w:sz="0" w:space="0" w:color="auto"/>
                <w:bottom w:val="none" w:sz="0" w:space="0" w:color="auto"/>
                <w:right w:val="none" w:sz="0" w:space="0" w:color="auto"/>
              </w:divBdr>
            </w:div>
            <w:div w:id="1067217634">
              <w:marLeft w:val="0"/>
              <w:marRight w:val="0"/>
              <w:marTop w:val="0"/>
              <w:marBottom w:val="0"/>
              <w:divBdr>
                <w:top w:val="none" w:sz="0" w:space="0" w:color="auto"/>
                <w:left w:val="none" w:sz="0" w:space="0" w:color="auto"/>
                <w:bottom w:val="none" w:sz="0" w:space="0" w:color="auto"/>
                <w:right w:val="none" w:sz="0" w:space="0" w:color="auto"/>
              </w:divBdr>
            </w:div>
          </w:divsChild>
        </w:div>
        <w:div w:id="71971372">
          <w:marLeft w:val="0"/>
          <w:marRight w:val="0"/>
          <w:marTop w:val="0"/>
          <w:marBottom w:val="0"/>
          <w:divBdr>
            <w:top w:val="none" w:sz="0" w:space="0" w:color="auto"/>
            <w:left w:val="none" w:sz="0" w:space="0" w:color="auto"/>
            <w:bottom w:val="none" w:sz="0" w:space="0" w:color="auto"/>
            <w:right w:val="none" w:sz="0" w:space="0" w:color="auto"/>
          </w:divBdr>
          <w:divsChild>
            <w:div w:id="7146968">
              <w:marLeft w:val="0"/>
              <w:marRight w:val="0"/>
              <w:marTop w:val="0"/>
              <w:marBottom w:val="0"/>
              <w:divBdr>
                <w:top w:val="none" w:sz="0" w:space="0" w:color="auto"/>
                <w:left w:val="none" w:sz="0" w:space="0" w:color="auto"/>
                <w:bottom w:val="none" w:sz="0" w:space="0" w:color="auto"/>
                <w:right w:val="none" w:sz="0" w:space="0" w:color="auto"/>
              </w:divBdr>
            </w:div>
            <w:div w:id="885526909">
              <w:marLeft w:val="0"/>
              <w:marRight w:val="0"/>
              <w:marTop w:val="0"/>
              <w:marBottom w:val="0"/>
              <w:divBdr>
                <w:top w:val="none" w:sz="0" w:space="0" w:color="auto"/>
                <w:left w:val="none" w:sz="0" w:space="0" w:color="auto"/>
                <w:bottom w:val="none" w:sz="0" w:space="0" w:color="auto"/>
                <w:right w:val="none" w:sz="0" w:space="0" w:color="auto"/>
              </w:divBdr>
            </w:div>
          </w:divsChild>
        </w:div>
        <w:div w:id="1457062094">
          <w:marLeft w:val="0"/>
          <w:marRight w:val="0"/>
          <w:marTop w:val="0"/>
          <w:marBottom w:val="0"/>
          <w:divBdr>
            <w:top w:val="none" w:sz="0" w:space="0" w:color="auto"/>
            <w:left w:val="none" w:sz="0" w:space="0" w:color="auto"/>
            <w:bottom w:val="none" w:sz="0" w:space="0" w:color="auto"/>
            <w:right w:val="none" w:sz="0" w:space="0" w:color="auto"/>
          </w:divBdr>
        </w:div>
        <w:div w:id="869999192">
          <w:marLeft w:val="0"/>
          <w:marRight w:val="0"/>
          <w:marTop w:val="0"/>
          <w:marBottom w:val="0"/>
          <w:divBdr>
            <w:top w:val="none" w:sz="0" w:space="0" w:color="auto"/>
            <w:left w:val="none" w:sz="0" w:space="0" w:color="auto"/>
            <w:bottom w:val="none" w:sz="0" w:space="0" w:color="auto"/>
            <w:right w:val="none" w:sz="0" w:space="0" w:color="auto"/>
          </w:divBdr>
          <w:divsChild>
            <w:div w:id="2016415445">
              <w:marLeft w:val="0"/>
              <w:marRight w:val="0"/>
              <w:marTop w:val="0"/>
              <w:marBottom w:val="0"/>
              <w:divBdr>
                <w:top w:val="none" w:sz="0" w:space="0" w:color="auto"/>
                <w:left w:val="none" w:sz="0" w:space="0" w:color="auto"/>
                <w:bottom w:val="none" w:sz="0" w:space="0" w:color="auto"/>
                <w:right w:val="none" w:sz="0" w:space="0" w:color="auto"/>
              </w:divBdr>
            </w:div>
            <w:div w:id="2071490537">
              <w:marLeft w:val="0"/>
              <w:marRight w:val="0"/>
              <w:marTop w:val="0"/>
              <w:marBottom w:val="0"/>
              <w:divBdr>
                <w:top w:val="none" w:sz="0" w:space="0" w:color="auto"/>
                <w:left w:val="none" w:sz="0" w:space="0" w:color="auto"/>
                <w:bottom w:val="none" w:sz="0" w:space="0" w:color="auto"/>
                <w:right w:val="none" w:sz="0" w:space="0" w:color="auto"/>
              </w:divBdr>
            </w:div>
            <w:div w:id="1912546538">
              <w:marLeft w:val="0"/>
              <w:marRight w:val="0"/>
              <w:marTop w:val="0"/>
              <w:marBottom w:val="0"/>
              <w:divBdr>
                <w:top w:val="none" w:sz="0" w:space="0" w:color="auto"/>
                <w:left w:val="none" w:sz="0" w:space="0" w:color="auto"/>
                <w:bottom w:val="none" w:sz="0" w:space="0" w:color="auto"/>
                <w:right w:val="none" w:sz="0" w:space="0" w:color="auto"/>
              </w:divBdr>
            </w:div>
          </w:divsChild>
        </w:div>
        <w:div w:id="796143901">
          <w:marLeft w:val="0"/>
          <w:marRight w:val="0"/>
          <w:marTop w:val="0"/>
          <w:marBottom w:val="0"/>
          <w:divBdr>
            <w:top w:val="none" w:sz="0" w:space="0" w:color="auto"/>
            <w:left w:val="none" w:sz="0" w:space="0" w:color="auto"/>
            <w:bottom w:val="none" w:sz="0" w:space="0" w:color="auto"/>
            <w:right w:val="none" w:sz="0" w:space="0" w:color="auto"/>
          </w:divBdr>
          <w:divsChild>
            <w:div w:id="633680894">
              <w:marLeft w:val="0"/>
              <w:marRight w:val="0"/>
              <w:marTop w:val="0"/>
              <w:marBottom w:val="0"/>
              <w:divBdr>
                <w:top w:val="none" w:sz="0" w:space="0" w:color="auto"/>
                <w:left w:val="none" w:sz="0" w:space="0" w:color="auto"/>
                <w:bottom w:val="none" w:sz="0" w:space="0" w:color="auto"/>
                <w:right w:val="none" w:sz="0" w:space="0" w:color="auto"/>
              </w:divBdr>
            </w:div>
          </w:divsChild>
        </w:div>
        <w:div w:id="2099515331">
          <w:marLeft w:val="0"/>
          <w:marRight w:val="0"/>
          <w:marTop w:val="0"/>
          <w:marBottom w:val="0"/>
          <w:divBdr>
            <w:top w:val="none" w:sz="0" w:space="0" w:color="auto"/>
            <w:left w:val="none" w:sz="0" w:space="0" w:color="auto"/>
            <w:bottom w:val="none" w:sz="0" w:space="0" w:color="auto"/>
            <w:right w:val="none" w:sz="0" w:space="0" w:color="auto"/>
          </w:divBdr>
          <w:divsChild>
            <w:div w:id="915092467">
              <w:marLeft w:val="0"/>
              <w:marRight w:val="0"/>
              <w:marTop w:val="0"/>
              <w:marBottom w:val="0"/>
              <w:divBdr>
                <w:top w:val="none" w:sz="0" w:space="0" w:color="auto"/>
                <w:left w:val="none" w:sz="0" w:space="0" w:color="auto"/>
                <w:bottom w:val="none" w:sz="0" w:space="0" w:color="auto"/>
                <w:right w:val="none" w:sz="0" w:space="0" w:color="auto"/>
              </w:divBdr>
            </w:div>
            <w:div w:id="315646296">
              <w:marLeft w:val="0"/>
              <w:marRight w:val="0"/>
              <w:marTop w:val="0"/>
              <w:marBottom w:val="0"/>
              <w:divBdr>
                <w:top w:val="none" w:sz="0" w:space="0" w:color="auto"/>
                <w:left w:val="none" w:sz="0" w:space="0" w:color="auto"/>
                <w:bottom w:val="none" w:sz="0" w:space="0" w:color="auto"/>
                <w:right w:val="none" w:sz="0" w:space="0" w:color="auto"/>
              </w:divBdr>
            </w:div>
            <w:div w:id="268321389">
              <w:marLeft w:val="0"/>
              <w:marRight w:val="0"/>
              <w:marTop w:val="0"/>
              <w:marBottom w:val="0"/>
              <w:divBdr>
                <w:top w:val="none" w:sz="0" w:space="0" w:color="auto"/>
                <w:left w:val="none" w:sz="0" w:space="0" w:color="auto"/>
                <w:bottom w:val="none" w:sz="0" w:space="0" w:color="auto"/>
                <w:right w:val="none" w:sz="0" w:space="0" w:color="auto"/>
              </w:divBdr>
            </w:div>
          </w:divsChild>
        </w:div>
        <w:div w:id="1007054620">
          <w:marLeft w:val="0"/>
          <w:marRight w:val="0"/>
          <w:marTop w:val="0"/>
          <w:marBottom w:val="0"/>
          <w:divBdr>
            <w:top w:val="none" w:sz="0" w:space="0" w:color="auto"/>
            <w:left w:val="none" w:sz="0" w:space="0" w:color="auto"/>
            <w:bottom w:val="none" w:sz="0" w:space="0" w:color="auto"/>
            <w:right w:val="none" w:sz="0" w:space="0" w:color="auto"/>
          </w:divBdr>
          <w:divsChild>
            <w:div w:id="1197621431">
              <w:marLeft w:val="0"/>
              <w:marRight w:val="0"/>
              <w:marTop w:val="0"/>
              <w:marBottom w:val="0"/>
              <w:divBdr>
                <w:top w:val="none" w:sz="0" w:space="0" w:color="auto"/>
                <w:left w:val="none" w:sz="0" w:space="0" w:color="auto"/>
                <w:bottom w:val="none" w:sz="0" w:space="0" w:color="auto"/>
                <w:right w:val="none" w:sz="0" w:space="0" w:color="auto"/>
              </w:divBdr>
            </w:div>
          </w:divsChild>
        </w:div>
        <w:div w:id="1293440294">
          <w:marLeft w:val="0"/>
          <w:marRight w:val="0"/>
          <w:marTop w:val="0"/>
          <w:marBottom w:val="0"/>
          <w:divBdr>
            <w:top w:val="none" w:sz="0" w:space="0" w:color="auto"/>
            <w:left w:val="none" w:sz="0" w:space="0" w:color="auto"/>
            <w:bottom w:val="none" w:sz="0" w:space="0" w:color="auto"/>
            <w:right w:val="none" w:sz="0" w:space="0" w:color="auto"/>
          </w:divBdr>
          <w:divsChild>
            <w:div w:id="618339407">
              <w:marLeft w:val="0"/>
              <w:marRight w:val="0"/>
              <w:marTop w:val="0"/>
              <w:marBottom w:val="0"/>
              <w:divBdr>
                <w:top w:val="none" w:sz="0" w:space="0" w:color="auto"/>
                <w:left w:val="none" w:sz="0" w:space="0" w:color="auto"/>
                <w:bottom w:val="none" w:sz="0" w:space="0" w:color="auto"/>
                <w:right w:val="none" w:sz="0" w:space="0" w:color="auto"/>
              </w:divBdr>
            </w:div>
            <w:div w:id="72163752">
              <w:marLeft w:val="0"/>
              <w:marRight w:val="0"/>
              <w:marTop w:val="0"/>
              <w:marBottom w:val="0"/>
              <w:divBdr>
                <w:top w:val="none" w:sz="0" w:space="0" w:color="auto"/>
                <w:left w:val="none" w:sz="0" w:space="0" w:color="auto"/>
                <w:bottom w:val="none" w:sz="0" w:space="0" w:color="auto"/>
                <w:right w:val="none" w:sz="0" w:space="0" w:color="auto"/>
              </w:divBdr>
            </w:div>
          </w:divsChild>
        </w:div>
        <w:div w:id="1190679678">
          <w:marLeft w:val="0"/>
          <w:marRight w:val="0"/>
          <w:marTop w:val="0"/>
          <w:marBottom w:val="0"/>
          <w:divBdr>
            <w:top w:val="none" w:sz="0" w:space="0" w:color="auto"/>
            <w:left w:val="none" w:sz="0" w:space="0" w:color="auto"/>
            <w:bottom w:val="none" w:sz="0" w:space="0" w:color="auto"/>
            <w:right w:val="none" w:sz="0" w:space="0" w:color="auto"/>
          </w:divBdr>
        </w:div>
        <w:div w:id="1059091196">
          <w:marLeft w:val="0"/>
          <w:marRight w:val="0"/>
          <w:marTop w:val="0"/>
          <w:marBottom w:val="0"/>
          <w:divBdr>
            <w:top w:val="none" w:sz="0" w:space="0" w:color="auto"/>
            <w:left w:val="none" w:sz="0" w:space="0" w:color="auto"/>
            <w:bottom w:val="none" w:sz="0" w:space="0" w:color="auto"/>
            <w:right w:val="none" w:sz="0" w:space="0" w:color="auto"/>
          </w:divBdr>
          <w:divsChild>
            <w:div w:id="215632024">
              <w:marLeft w:val="0"/>
              <w:marRight w:val="0"/>
              <w:marTop w:val="0"/>
              <w:marBottom w:val="0"/>
              <w:divBdr>
                <w:top w:val="none" w:sz="0" w:space="0" w:color="auto"/>
                <w:left w:val="none" w:sz="0" w:space="0" w:color="auto"/>
                <w:bottom w:val="none" w:sz="0" w:space="0" w:color="auto"/>
                <w:right w:val="none" w:sz="0" w:space="0" w:color="auto"/>
              </w:divBdr>
            </w:div>
            <w:div w:id="122769208">
              <w:marLeft w:val="0"/>
              <w:marRight w:val="0"/>
              <w:marTop w:val="0"/>
              <w:marBottom w:val="0"/>
              <w:divBdr>
                <w:top w:val="none" w:sz="0" w:space="0" w:color="auto"/>
                <w:left w:val="none" w:sz="0" w:space="0" w:color="auto"/>
                <w:bottom w:val="none" w:sz="0" w:space="0" w:color="auto"/>
                <w:right w:val="none" w:sz="0" w:space="0" w:color="auto"/>
              </w:divBdr>
            </w:div>
          </w:divsChild>
        </w:div>
        <w:div w:id="140587651">
          <w:marLeft w:val="0"/>
          <w:marRight w:val="0"/>
          <w:marTop w:val="0"/>
          <w:marBottom w:val="0"/>
          <w:divBdr>
            <w:top w:val="none" w:sz="0" w:space="0" w:color="auto"/>
            <w:left w:val="none" w:sz="0" w:space="0" w:color="auto"/>
            <w:bottom w:val="none" w:sz="0" w:space="0" w:color="auto"/>
            <w:right w:val="none" w:sz="0" w:space="0" w:color="auto"/>
          </w:divBdr>
          <w:divsChild>
            <w:div w:id="1610891508">
              <w:marLeft w:val="0"/>
              <w:marRight w:val="0"/>
              <w:marTop w:val="0"/>
              <w:marBottom w:val="0"/>
              <w:divBdr>
                <w:top w:val="none" w:sz="0" w:space="0" w:color="auto"/>
                <w:left w:val="none" w:sz="0" w:space="0" w:color="auto"/>
                <w:bottom w:val="none" w:sz="0" w:space="0" w:color="auto"/>
                <w:right w:val="none" w:sz="0" w:space="0" w:color="auto"/>
              </w:divBdr>
            </w:div>
            <w:div w:id="1740247882">
              <w:marLeft w:val="0"/>
              <w:marRight w:val="0"/>
              <w:marTop w:val="0"/>
              <w:marBottom w:val="0"/>
              <w:divBdr>
                <w:top w:val="none" w:sz="0" w:space="0" w:color="auto"/>
                <w:left w:val="none" w:sz="0" w:space="0" w:color="auto"/>
                <w:bottom w:val="none" w:sz="0" w:space="0" w:color="auto"/>
                <w:right w:val="none" w:sz="0" w:space="0" w:color="auto"/>
              </w:divBdr>
            </w:div>
          </w:divsChild>
        </w:div>
        <w:div w:id="391392999">
          <w:marLeft w:val="0"/>
          <w:marRight w:val="0"/>
          <w:marTop w:val="0"/>
          <w:marBottom w:val="0"/>
          <w:divBdr>
            <w:top w:val="none" w:sz="0" w:space="0" w:color="auto"/>
            <w:left w:val="none" w:sz="0" w:space="0" w:color="auto"/>
            <w:bottom w:val="none" w:sz="0" w:space="0" w:color="auto"/>
            <w:right w:val="none" w:sz="0" w:space="0" w:color="auto"/>
          </w:divBdr>
          <w:divsChild>
            <w:div w:id="1423574442">
              <w:marLeft w:val="0"/>
              <w:marRight w:val="0"/>
              <w:marTop w:val="0"/>
              <w:marBottom w:val="0"/>
              <w:divBdr>
                <w:top w:val="none" w:sz="0" w:space="0" w:color="auto"/>
                <w:left w:val="none" w:sz="0" w:space="0" w:color="auto"/>
                <w:bottom w:val="none" w:sz="0" w:space="0" w:color="auto"/>
                <w:right w:val="none" w:sz="0" w:space="0" w:color="auto"/>
              </w:divBdr>
            </w:div>
            <w:div w:id="1545370069">
              <w:marLeft w:val="0"/>
              <w:marRight w:val="0"/>
              <w:marTop w:val="0"/>
              <w:marBottom w:val="0"/>
              <w:divBdr>
                <w:top w:val="none" w:sz="0" w:space="0" w:color="auto"/>
                <w:left w:val="none" w:sz="0" w:space="0" w:color="auto"/>
                <w:bottom w:val="none" w:sz="0" w:space="0" w:color="auto"/>
                <w:right w:val="none" w:sz="0" w:space="0" w:color="auto"/>
              </w:divBdr>
            </w:div>
          </w:divsChild>
        </w:div>
        <w:div w:id="244386841">
          <w:marLeft w:val="0"/>
          <w:marRight w:val="0"/>
          <w:marTop w:val="0"/>
          <w:marBottom w:val="0"/>
          <w:divBdr>
            <w:top w:val="none" w:sz="0" w:space="0" w:color="auto"/>
            <w:left w:val="none" w:sz="0" w:space="0" w:color="auto"/>
            <w:bottom w:val="none" w:sz="0" w:space="0" w:color="auto"/>
            <w:right w:val="none" w:sz="0" w:space="0" w:color="auto"/>
          </w:divBdr>
          <w:divsChild>
            <w:div w:id="1948586662">
              <w:marLeft w:val="0"/>
              <w:marRight w:val="0"/>
              <w:marTop w:val="0"/>
              <w:marBottom w:val="0"/>
              <w:divBdr>
                <w:top w:val="none" w:sz="0" w:space="0" w:color="auto"/>
                <w:left w:val="none" w:sz="0" w:space="0" w:color="auto"/>
                <w:bottom w:val="none" w:sz="0" w:space="0" w:color="auto"/>
                <w:right w:val="none" w:sz="0" w:space="0" w:color="auto"/>
              </w:divBdr>
            </w:div>
            <w:div w:id="120540109">
              <w:marLeft w:val="0"/>
              <w:marRight w:val="0"/>
              <w:marTop w:val="0"/>
              <w:marBottom w:val="0"/>
              <w:divBdr>
                <w:top w:val="none" w:sz="0" w:space="0" w:color="auto"/>
                <w:left w:val="none" w:sz="0" w:space="0" w:color="auto"/>
                <w:bottom w:val="none" w:sz="0" w:space="0" w:color="auto"/>
                <w:right w:val="none" w:sz="0" w:space="0" w:color="auto"/>
              </w:divBdr>
            </w:div>
          </w:divsChild>
        </w:div>
        <w:div w:id="734935355">
          <w:marLeft w:val="0"/>
          <w:marRight w:val="0"/>
          <w:marTop w:val="0"/>
          <w:marBottom w:val="0"/>
          <w:divBdr>
            <w:top w:val="none" w:sz="0" w:space="0" w:color="auto"/>
            <w:left w:val="none" w:sz="0" w:space="0" w:color="auto"/>
            <w:bottom w:val="none" w:sz="0" w:space="0" w:color="auto"/>
            <w:right w:val="none" w:sz="0" w:space="0" w:color="auto"/>
          </w:divBdr>
          <w:divsChild>
            <w:div w:id="644162466">
              <w:marLeft w:val="0"/>
              <w:marRight w:val="0"/>
              <w:marTop w:val="0"/>
              <w:marBottom w:val="0"/>
              <w:divBdr>
                <w:top w:val="none" w:sz="0" w:space="0" w:color="auto"/>
                <w:left w:val="none" w:sz="0" w:space="0" w:color="auto"/>
                <w:bottom w:val="none" w:sz="0" w:space="0" w:color="auto"/>
                <w:right w:val="none" w:sz="0" w:space="0" w:color="auto"/>
              </w:divBdr>
            </w:div>
            <w:div w:id="2129624421">
              <w:marLeft w:val="0"/>
              <w:marRight w:val="0"/>
              <w:marTop w:val="0"/>
              <w:marBottom w:val="0"/>
              <w:divBdr>
                <w:top w:val="none" w:sz="0" w:space="0" w:color="auto"/>
                <w:left w:val="none" w:sz="0" w:space="0" w:color="auto"/>
                <w:bottom w:val="none" w:sz="0" w:space="0" w:color="auto"/>
                <w:right w:val="none" w:sz="0" w:space="0" w:color="auto"/>
              </w:divBdr>
            </w:div>
          </w:divsChild>
        </w:div>
        <w:div w:id="719091318">
          <w:marLeft w:val="0"/>
          <w:marRight w:val="0"/>
          <w:marTop w:val="0"/>
          <w:marBottom w:val="0"/>
          <w:divBdr>
            <w:top w:val="none" w:sz="0" w:space="0" w:color="auto"/>
            <w:left w:val="none" w:sz="0" w:space="0" w:color="auto"/>
            <w:bottom w:val="none" w:sz="0" w:space="0" w:color="auto"/>
            <w:right w:val="none" w:sz="0" w:space="0" w:color="auto"/>
          </w:divBdr>
          <w:divsChild>
            <w:div w:id="834950898">
              <w:marLeft w:val="0"/>
              <w:marRight w:val="0"/>
              <w:marTop w:val="0"/>
              <w:marBottom w:val="0"/>
              <w:divBdr>
                <w:top w:val="none" w:sz="0" w:space="0" w:color="auto"/>
                <w:left w:val="none" w:sz="0" w:space="0" w:color="auto"/>
                <w:bottom w:val="none" w:sz="0" w:space="0" w:color="auto"/>
                <w:right w:val="none" w:sz="0" w:space="0" w:color="auto"/>
              </w:divBdr>
            </w:div>
            <w:div w:id="622468739">
              <w:marLeft w:val="0"/>
              <w:marRight w:val="0"/>
              <w:marTop w:val="0"/>
              <w:marBottom w:val="0"/>
              <w:divBdr>
                <w:top w:val="none" w:sz="0" w:space="0" w:color="auto"/>
                <w:left w:val="none" w:sz="0" w:space="0" w:color="auto"/>
                <w:bottom w:val="none" w:sz="0" w:space="0" w:color="auto"/>
                <w:right w:val="none" w:sz="0" w:space="0" w:color="auto"/>
              </w:divBdr>
            </w:div>
          </w:divsChild>
        </w:div>
        <w:div w:id="1146170703">
          <w:marLeft w:val="0"/>
          <w:marRight w:val="0"/>
          <w:marTop w:val="0"/>
          <w:marBottom w:val="0"/>
          <w:divBdr>
            <w:top w:val="none" w:sz="0" w:space="0" w:color="auto"/>
            <w:left w:val="none" w:sz="0" w:space="0" w:color="auto"/>
            <w:bottom w:val="none" w:sz="0" w:space="0" w:color="auto"/>
            <w:right w:val="none" w:sz="0" w:space="0" w:color="auto"/>
          </w:divBdr>
          <w:divsChild>
            <w:div w:id="822237948">
              <w:marLeft w:val="0"/>
              <w:marRight w:val="0"/>
              <w:marTop w:val="0"/>
              <w:marBottom w:val="0"/>
              <w:divBdr>
                <w:top w:val="none" w:sz="0" w:space="0" w:color="auto"/>
                <w:left w:val="none" w:sz="0" w:space="0" w:color="auto"/>
                <w:bottom w:val="none" w:sz="0" w:space="0" w:color="auto"/>
                <w:right w:val="none" w:sz="0" w:space="0" w:color="auto"/>
              </w:divBdr>
            </w:div>
            <w:div w:id="199824037">
              <w:marLeft w:val="0"/>
              <w:marRight w:val="0"/>
              <w:marTop w:val="0"/>
              <w:marBottom w:val="0"/>
              <w:divBdr>
                <w:top w:val="none" w:sz="0" w:space="0" w:color="auto"/>
                <w:left w:val="none" w:sz="0" w:space="0" w:color="auto"/>
                <w:bottom w:val="none" w:sz="0" w:space="0" w:color="auto"/>
                <w:right w:val="none" w:sz="0" w:space="0" w:color="auto"/>
              </w:divBdr>
            </w:div>
          </w:divsChild>
        </w:div>
        <w:div w:id="356739479">
          <w:marLeft w:val="0"/>
          <w:marRight w:val="0"/>
          <w:marTop w:val="0"/>
          <w:marBottom w:val="0"/>
          <w:divBdr>
            <w:top w:val="none" w:sz="0" w:space="0" w:color="auto"/>
            <w:left w:val="none" w:sz="0" w:space="0" w:color="auto"/>
            <w:bottom w:val="none" w:sz="0" w:space="0" w:color="auto"/>
            <w:right w:val="none" w:sz="0" w:space="0" w:color="auto"/>
          </w:divBdr>
          <w:divsChild>
            <w:div w:id="1037197797">
              <w:marLeft w:val="0"/>
              <w:marRight w:val="0"/>
              <w:marTop w:val="0"/>
              <w:marBottom w:val="0"/>
              <w:divBdr>
                <w:top w:val="none" w:sz="0" w:space="0" w:color="auto"/>
                <w:left w:val="none" w:sz="0" w:space="0" w:color="auto"/>
                <w:bottom w:val="none" w:sz="0" w:space="0" w:color="auto"/>
                <w:right w:val="none" w:sz="0" w:space="0" w:color="auto"/>
              </w:divBdr>
            </w:div>
            <w:div w:id="1073351858">
              <w:marLeft w:val="0"/>
              <w:marRight w:val="0"/>
              <w:marTop w:val="0"/>
              <w:marBottom w:val="0"/>
              <w:divBdr>
                <w:top w:val="none" w:sz="0" w:space="0" w:color="auto"/>
                <w:left w:val="none" w:sz="0" w:space="0" w:color="auto"/>
                <w:bottom w:val="none" w:sz="0" w:space="0" w:color="auto"/>
                <w:right w:val="none" w:sz="0" w:space="0" w:color="auto"/>
              </w:divBdr>
            </w:div>
          </w:divsChild>
        </w:div>
        <w:div w:id="1082794977">
          <w:marLeft w:val="0"/>
          <w:marRight w:val="0"/>
          <w:marTop w:val="0"/>
          <w:marBottom w:val="0"/>
          <w:divBdr>
            <w:top w:val="none" w:sz="0" w:space="0" w:color="auto"/>
            <w:left w:val="none" w:sz="0" w:space="0" w:color="auto"/>
            <w:bottom w:val="none" w:sz="0" w:space="0" w:color="auto"/>
            <w:right w:val="none" w:sz="0" w:space="0" w:color="auto"/>
          </w:divBdr>
          <w:divsChild>
            <w:div w:id="1842546182">
              <w:marLeft w:val="0"/>
              <w:marRight w:val="0"/>
              <w:marTop w:val="0"/>
              <w:marBottom w:val="0"/>
              <w:divBdr>
                <w:top w:val="none" w:sz="0" w:space="0" w:color="auto"/>
                <w:left w:val="none" w:sz="0" w:space="0" w:color="auto"/>
                <w:bottom w:val="none" w:sz="0" w:space="0" w:color="auto"/>
                <w:right w:val="none" w:sz="0" w:space="0" w:color="auto"/>
              </w:divBdr>
            </w:div>
            <w:div w:id="349915760">
              <w:marLeft w:val="0"/>
              <w:marRight w:val="0"/>
              <w:marTop w:val="0"/>
              <w:marBottom w:val="0"/>
              <w:divBdr>
                <w:top w:val="none" w:sz="0" w:space="0" w:color="auto"/>
                <w:left w:val="none" w:sz="0" w:space="0" w:color="auto"/>
                <w:bottom w:val="none" w:sz="0" w:space="0" w:color="auto"/>
                <w:right w:val="none" w:sz="0" w:space="0" w:color="auto"/>
              </w:divBdr>
            </w:div>
            <w:div w:id="1087113015">
              <w:marLeft w:val="0"/>
              <w:marRight w:val="0"/>
              <w:marTop w:val="0"/>
              <w:marBottom w:val="0"/>
              <w:divBdr>
                <w:top w:val="none" w:sz="0" w:space="0" w:color="auto"/>
                <w:left w:val="none" w:sz="0" w:space="0" w:color="auto"/>
                <w:bottom w:val="none" w:sz="0" w:space="0" w:color="auto"/>
                <w:right w:val="none" w:sz="0" w:space="0" w:color="auto"/>
              </w:divBdr>
            </w:div>
          </w:divsChild>
        </w:div>
        <w:div w:id="325790477">
          <w:marLeft w:val="0"/>
          <w:marRight w:val="0"/>
          <w:marTop w:val="0"/>
          <w:marBottom w:val="0"/>
          <w:divBdr>
            <w:top w:val="none" w:sz="0" w:space="0" w:color="auto"/>
            <w:left w:val="none" w:sz="0" w:space="0" w:color="auto"/>
            <w:bottom w:val="none" w:sz="0" w:space="0" w:color="auto"/>
            <w:right w:val="none" w:sz="0" w:space="0" w:color="auto"/>
          </w:divBdr>
          <w:divsChild>
            <w:div w:id="38937476">
              <w:marLeft w:val="0"/>
              <w:marRight w:val="0"/>
              <w:marTop w:val="0"/>
              <w:marBottom w:val="0"/>
              <w:divBdr>
                <w:top w:val="none" w:sz="0" w:space="0" w:color="auto"/>
                <w:left w:val="none" w:sz="0" w:space="0" w:color="auto"/>
                <w:bottom w:val="none" w:sz="0" w:space="0" w:color="auto"/>
                <w:right w:val="none" w:sz="0" w:space="0" w:color="auto"/>
              </w:divBdr>
            </w:div>
            <w:div w:id="600720701">
              <w:marLeft w:val="0"/>
              <w:marRight w:val="0"/>
              <w:marTop w:val="0"/>
              <w:marBottom w:val="0"/>
              <w:divBdr>
                <w:top w:val="none" w:sz="0" w:space="0" w:color="auto"/>
                <w:left w:val="none" w:sz="0" w:space="0" w:color="auto"/>
                <w:bottom w:val="none" w:sz="0" w:space="0" w:color="auto"/>
                <w:right w:val="none" w:sz="0" w:space="0" w:color="auto"/>
              </w:divBdr>
            </w:div>
            <w:div w:id="1194347169">
              <w:marLeft w:val="0"/>
              <w:marRight w:val="0"/>
              <w:marTop w:val="0"/>
              <w:marBottom w:val="0"/>
              <w:divBdr>
                <w:top w:val="none" w:sz="0" w:space="0" w:color="auto"/>
                <w:left w:val="none" w:sz="0" w:space="0" w:color="auto"/>
                <w:bottom w:val="none" w:sz="0" w:space="0" w:color="auto"/>
                <w:right w:val="none" w:sz="0" w:space="0" w:color="auto"/>
              </w:divBdr>
            </w:div>
          </w:divsChild>
        </w:div>
        <w:div w:id="132061292">
          <w:marLeft w:val="0"/>
          <w:marRight w:val="0"/>
          <w:marTop w:val="0"/>
          <w:marBottom w:val="0"/>
          <w:divBdr>
            <w:top w:val="none" w:sz="0" w:space="0" w:color="auto"/>
            <w:left w:val="none" w:sz="0" w:space="0" w:color="auto"/>
            <w:bottom w:val="none" w:sz="0" w:space="0" w:color="auto"/>
            <w:right w:val="none" w:sz="0" w:space="0" w:color="auto"/>
          </w:divBdr>
          <w:divsChild>
            <w:div w:id="330451145">
              <w:marLeft w:val="0"/>
              <w:marRight w:val="0"/>
              <w:marTop w:val="0"/>
              <w:marBottom w:val="0"/>
              <w:divBdr>
                <w:top w:val="none" w:sz="0" w:space="0" w:color="auto"/>
                <w:left w:val="none" w:sz="0" w:space="0" w:color="auto"/>
                <w:bottom w:val="none" w:sz="0" w:space="0" w:color="auto"/>
                <w:right w:val="none" w:sz="0" w:space="0" w:color="auto"/>
              </w:divBdr>
            </w:div>
            <w:div w:id="1777166650">
              <w:marLeft w:val="0"/>
              <w:marRight w:val="0"/>
              <w:marTop w:val="0"/>
              <w:marBottom w:val="0"/>
              <w:divBdr>
                <w:top w:val="none" w:sz="0" w:space="0" w:color="auto"/>
                <w:left w:val="none" w:sz="0" w:space="0" w:color="auto"/>
                <w:bottom w:val="none" w:sz="0" w:space="0" w:color="auto"/>
                <w:right w:val="none" w:sz="0" w:space="0" w:color="auto"/>
              </w:divBdr>
            </w:div>
          </w:divsChild>
        </w:div>
        <w:div w:id="1838302666">
          <w:marLeft w:val="0"/>
          <w:marRight w:val="0"/>
          <w:marTop w:val="0"/>
          <w:marBottom w:val="0"/>
          <w:divBdr>
            <w:top w:val="none" w:sz="0" w:space="0" w:color="auto"/>
            <w:left w:val="none" w:sz="0" w:space="0" w:color="auto"/>
            <w:bottom w:val="none" w:sz="0" w:space="0" w:color="auto"/>
            <w:right w:val="none" w:sz="0" w:space="0" w:color="auto"/>
          </w:divBdr>
        </w:div>
        <w:div w:id="1892573179">
          <w:marLeft w:val="0"/>
          <w:marRight w:val="0"/>
          <w:marTop w:val="0"/>
          <w:marBottom w:val="0"/>
          <w:divBdr>
            <w:top w:val="none" w:sz="0" w:space="0" w:color="auto"/>
            <w:left w:val="none" w:sz="0" w:space="0" w:color="auto"/>
            <w:bottom w:val="none" w:sz="0" w:space="0" w:color="auto"/>
            <w:right w:val="none" w:sz="0" w:space="0" w:color="auto"/>
          </w:divBdr>
          <w:divsChild>
            <w:div w:id="77338298">
              <w:marLeft w:val="0"/>
              <w:marRight w:val="0"/>
              <w:marTop w:val="0"/>
              <w:marBottom w:val="0"/>
              <w:divBdr>
                <w:top w:val="none" w:sz="0" w:space="0" w:color="auto"/>
                <w:left w:val="none" w:sz="0" w:space="0" w:color="auto"/>
                <w:bottom w:val="none" w:sz="0" w:space="0" w:color="auto"/>
                <w:right w:val="none" w:sz="0" w:space="0" w:color="auto"/>
              </w:divBdr>
            </w:div>
            <w:div w:id="1828668727">
              <w:marLeft w:val="0"/>
              <w:marRight w:val="0"/>
              <w:marTop w:val="0"/>
              <w:marBottom w:val="0"/>
              <w:divBdr>
                <w:top w:val="none" w:sz="0" w:space="0" w:color="auto"/>
                <w:left w:val="none" w:sz="0" w:space="0" w:color="auto"/>
                <w:bottom w:val="none" w:sz="0" w:space="0" w:color="auto"/>
                <w:right w:val="none" w:sz="0" w:space="0" w:color="auto"/>
              </w:divBdr>
            </w:div>
          </w:divsChild>
        </w:div>
        <w:div w:id="1188909763">
          <w:marLeft w:val="0"/>
          <w:marRight w:val="0"/>
          <w:marTop w:val="0"/>
          <w:marBottom w:val="0"/>
          <w:divBdr>
            <w:top w:val="none" w:sz="0" w:space="0" w:color="auto"/>
            <w:left w:val="none" w:sz="0" w:space="0" w:color="auto"/>
            <w:bottom w:val="none" w:sz="0" w:space="0" w:color="auto"/>
            <w:right w:val="none" w:sz="0" w:space="0" w:color="auto"/>
          </w:divBdr>
        </w:div>
        <w:div w:id="169873640">
          <w:marLeft w:val="0"/>
          <w:marRight w:val="0"/>
          <w:marTop w:val="0"/>
          <w:marBottom w:val="0"/>
          <w:divBdr>
            <w:top w:val="none" w:sz="0" w:space="0" w:color="auto"/>
            <w:left w:val="none" w:sz="0" w:space="0" w:color="auto"/>
            <w:bottom w:val="none" w:sz="0" w:space="0" w:color="auto"/>
            <w:right w:val="none" w:sz="0" w:space="0" w:color="auto"/>
          </w:divBdr>
          <w:divsChild>
            <w:div w:id="418453931">
              <w:marLeft w:val="0"/>
              <w:marRight w:val="0"/>
              <w:marTop w:val="0"/>
              <w:marBottom w:val="0"/>
              <w:divBdr>
                <w:top w:val="none" w:sz="0" w:space="0" w:color="auto"/>
                <w:left w:val="none" w:sz="0" w:space="0" w:color="auto"/>
                <w:bottom w:val="none" w:sz="0" w:space="0" w:color="auto"/>
                <w:right w:val="none" w:sz="0" w:space="0" w:color="auto"/>
              </w:divBdr>
            </w:div>
            <w:div w:id="1249314378">
              <w:marLeft w:val="0"/>
              <w:marRight w:val="0"/>
              <w:marTop w:val="0"/>
              <w:marBottom w:val="0"/>
              <w:divBdr>
                <w:top w:val="none" w:sz="0" w:space="0" w:color="auto"/>
                <w:left w:val="none" w:sz="0" w:space="0" w:color="auto"/>
                <w:bottom w:val="none" w:sz="0" w:space="0" w:color="auto"/>
                <w:right w:val="none" w:sz="0" w:space="0" w:color="auto"/>
              </w:divBdr>
            </w:div>
            <w:div w:id="1578635315">
              <w:marLeft w:val="0"/>
              <w:marRight w:val="0"/>
              <w:marTop w:val="0"/>
              <w:marBottom w:val="0"/>
              <w:divBdr>
                <w:top w:val="none" w:sz="0" w:space="0" w:color="auto"/>
                <w:left w:val="none" w:sz="0" w:space="0" w:color="auto"/>
                <w:bottom w:val="none" w:sz="0" w:space="0" w:color="auto"/>
                <w:right w:val="none" w:sz="0" w:space="0" w:color="auto"/>
              </w:divBdr>
            </w:div>
          </w:divsChild>
        </w:div>
        <w:div w:id="2070378164">
          <w:marLeft w:val="0"/>
          <w:marRight w:val="0"/>
          <w:marTop w:val="0"/>
          <w:marBottom w:val="0"/>
          <w:divBdr>
            <w:top w:val="none" w:sz="0" w:space="0" w:color="auto"/>
            <w:left w:val="none" w:sz="0" w:space="0" w:color="auto"/>
            <w:bottom w:val="none" w:sz="0" w:space="0" w:color="auto"/>
            <w:right w:val="none" w:sz="0" w:space="0" w:color="auto"/>
          </w:divBdr>
          <w:divsChild>
            <w:div w:id="299919469">
              <w:marLeft w:val="0"/>
              <w:marRight w:val="0"/>
              <w:marTop w:val="0"/>
              <w:marBottom w:val="0"/>
              <w:divBdr>
                <w:top w:val="none" w:sz="0" w:space="0" w:color="auto"/>
                <w:left w:val="none" w:sz="0" w:space="0" w:color="auto"/>
                <w:bottom w:val="none" w:sz="0" w:space="0" w:color="auto"/>
                <w:right w:val="none" w:sz="0" w:space="0" w:color="auto"/>
              </w:divBdr>
            </w:div>
            <w:div w:id="898053637">
              <w:marLeft w:val="0"/>
              <w:marRight w:val="0"/>
              <w:marTop w:val="0"/>
              <w:marBottom w:val="0"/>
              <w:divBdr>
                <w:top w:val="none" w:sz="0" w:space="0" w:color="auto"/>
                <w:left w:val="none" w:sz="0" w:space="0" w:color="auto"/>
                <w:bottom w:val="none" w:sz="0" w:space="0" w:color="auto"/>
                <w:right w:val="none" w:sz="0" w:space="0" w:color="auto"/>
              </w:divBdr>
            </w:div>
            <w:div w:id="68046753">
              <w:marLeft w:val="0"/>
              <w:marRight w:val="0"/>
              <w:marTop w:val="0"/>
              <w:marBottom w:val="0"/>
              <w:divBdr>
                <w:top w:val="none" w:sz="0" w:space="0" w:color="auto"/>
                <w:left w:val="none" w:sz="0" w:space="0" w:color="auto"/>
                <w:bottom w:val="none" w:sz="0" w:space="0" w:color="auto"/>
                <w:right w:val="none" w:sz="0" w:space="0" w:color="auto"/>
              </w:divBdr>
            </w:div>
          </w:divsChild>
        </w:div>
        <w:div w:id="194200620">
          <w:marLeft w:val="0"/>
          <w:marRight w:val="0"/>
          <w:marTop w:val="0"/>
          <w:marBottom w:val="0"/>
          <w:divBdr>
            <w:top w:val="none" w:sz="0" w:space="0" w:color="auto"/>
            <w:left w:val="none" w:sz="0" w:space="0" w:color="auto"/>
            <w:bottom w:val="none" w:sz="0" w:space="0" w:color="auto"/>
            <w:right w:val="none" w:sz="0" w:space="0" w:color="auto"/>
          </w:divBdr>
        </w:div>
        <w:div w:id="952785300">
          <w:marLeft w:val="0"/>
          <w:marRight w:val="0"/>
          <w:marTop w:val="0"/>
          <w:marBottom w:val="0"/>
          <w:divBdr>
            <w:top w:val="none" w:sz="0" w:space="0" w:color="auto"/>
            <w:left w:val="none" w:sz="0" w:space="0" w:color="auto"/>
            <w:bottom w:val="none" w:sz="0" w:space="0" w:color="auto"/>
            <w:right w:val="none" w:sz="0" w:space="0" w:color="auto"/>
          </w:divBdr>
          <w:divsChild>
            <w:div w:id="1726834070">
              <w:marLeft w:val="0"/>
              <w:marRight w:val="0"/>
              <w:marTop w:val="0"/>
              <w:marBottom w:val="0"/>
              <w:divBdr>
                <w:top w:val="none" w:sz="0" w:space="0" w:color="auto"/>
                <w:left w:val="none" w:sz="0" w:space="0" w:color="auto"/>
                <w:bottom w:val="none" w:sz="0" w:space="0" w:color="auto"/>
                <w:right w:val="none" w:sz="0" w:space="0" w:color="auto"/>
              </w:divBdr>
            </w:div>
            <w:div w:id="1522351462">
              <w:marLeft w:val="0"/>
              <w:marRight w:val="0"/>
              <w:marTop w:val="0"/>
              <w:marBottom w:val="0"/>
              <w:divBdr>
                <w:top w:val="none" w:sz="0" w:space="0" w:color="auto"/>
                <w:left w:val="none" w:sz="0" w:space="0" w:color="auto"/>
                <w:bottom w:val="none" w:sz="0" w:space="0" w:color="auto"/>
                <w:right w:val="none" w:sz="0" w:space="0" w:color="auto"/>
              </w:divBdr>
            </w:div>
            <w:div w:id="63143136">
              <w:marLeft w:val="0"/>
              <w:marRight w:val="0"/>
              <w:marTop w:val="0"/>
              <w:marBottom w:val="0"/>
              <w:divBdr>
                <w:top w:val="none" w:sz="0" w:space="0" w:color="auto"/>
                <w:left w:val="none" w:sz="0" w:space="0" w:color="auto"/>
                <w:bottom w:val="none" w:sz="0" w:space="0" w:color="auto"/>
                <w:right w:val="none" w:sz="0" w:space="0" w:color="auto"/>
              </w:divBdr>
            </w:div>
          </w:divsChild>
        </w:div>
        <w:div w:id="486752389">
          <w:marLeft w:val="0"/>
          <w:marRight w:val="0"/>
          <w:marTop w:val="0"/>
          <w:marBottom w:val="0"/>
          <w:divBdr>
            <w:top w:val="none" w:sz="0" w:space="0" w:color="auto"/>
            <w:left w:val="none" w:sz="0" w:space="0" w:color="auto"/>
            <w:bottom w:val="none" w:sz="0" w:space="0" w:color="auto"/>
            <w:right w:val="none" w:sz="0" w:space="0" w:color="auto"/>
          </w:divBdr>
        </w:div>
        <w:div w:id="436407742">
          <w:marLeft w:val="0"/>
          <w:marRight w:val="0"/>
          <w:marTop w:val="0"/>
          <w:marBottom w:val="0"/>
          <w:divBdr>
            <w:top w:val="none" w:sz="0" w:space="0" w:color="auto"/>
            <w:left w:val="none" w:sz="0" w:space="0" w:color="auto"/>
            <w:bottom w:val="none" w:sz="0" w:space="0" w:color="auto"/>
            <w:right w:val="none" w:sz="0" w:space="0" w:color="auto"/>
          </w:divBdr>
          <w:divsChild>
            <w:div w:id="1508330823">
              <w:marLeft w:val="0"/>
              <w:marRight w:val="0"/>
              <w:marTop w:val="0"/>
              <w:marBottom w:val="0"/>
              <w:divBdr>
                <w:top w:val="none" w:sz="0" w:space="0" w:color="auto"/>
                <w:left w:val="none" w:sz="0" w:space="0" w:color="auto"/>
                <w:bottom w:val="none" w:sz="0" w:space="0" w:color="auto"/>
                <w:right w:val="none" w:sz="0" w:space="0" w:color="auto"/>
              </w:divBdr>
            </w:div>
            <w:div w:id="1259489210">
              <w:marLeft w:val="0"/>
              <w:marRight w:val="0"/>
              <w:marTop w:val="0"/>
              <w:marBottom w:val="0"/>
              <w:divBdr>
                <w:top w:val="none" w:sz="0" w:space="0" w:color="auto"/>
                <w:left w:val="none" w:sz="0" w:space="0" w:color="auto"/>
                <w:bottom w:val="none" w:sz="0" w:space="0" w:color="auto"/>
                <w:right w:val="none" w:sz="0" w:space="0" w:color="auto"/>
              </w:divBdr>
            </w:div>
            <w:div w:id="1314946845">
              <w:marLeft w:val="0"/>
              <w:marRight w:val="0"/>
              <w:marTop w:val="0"/>
              <w:marBottom w:val="0"/>
              <w:divBdr>
                <w:top w:val="none" w:sz="0" w:space="0" w:color="auto"/>
                <w:left w:val="none" w:sz="0" w:space="0" w:color="auto"/>
                <w:bottom w:val="none" w:sz="0" w:space="0" w:color="auto"/>
                <w:right w:val="none" w:sz="0" w:space="0" w:color="auto"/>
              </w:divBdr>
            </w:div>
          </w:divsChild>
        </w:div>
        <w:div w:id="1716731744">
          <w:marLeft w:val="0"/>
          <w:marRight w:val="0"/>
          <w:marTop w:val="0"/>
          <w:marBottom w:val="0"/>
          <w:divBdr>
            <w:top w:val="none" w:sz="0" w:space="0" w:color="auto"/>
            <w:left w:val="none" w:sz="0" w:space="0" w:color="auto"/>
            <w:bottom w:val="none" w:sz="0" w:space="0" w:color="auto"/>
            <w:right w:val="none" w:sz="0" w:space="0" w:color="auto"/>
          </w:divBdr>
          <w:divsChild>
            <w:div w:id="785002025">
              <w:marLeft w:val="0"/>
              <w:marRight w:val="0"/>
              <w:marTop w:val="0"/>
              <w:marBottom w:val="0"/>
              <w:divBdr>
                <w:top w:val="none" w:sz="0" w:space="0" w:color="auto"/>
                <w:left w:val="none" w:sz="0" w:space="0" w:color="auto"/>
                <w:bottom w:val="none" w:sz="0" w:space="0" w:color="auto"/>
                <w:right w:val="none" w:sz="0" w:space="0" w:color="auto"/>
              </w:divBdr>
            </w:div>
          </w:divsChild>
        </w:div>
        <w:div w:id="1038239890">
          <w:marLeft w:val="0"/>
          <w:marRight w:val="0"/>
          <w:marTop w:val="0"/>
          <w:marBottom w:val="0"/>
          <w:divBdr>
            <w:top w:val="none" w:sz="0" w:space="0" w:color="auto"/>
            <w:left w:val="none" w:sz="0" w:space="0" w:color="auto"/>
            <w:bottom w:val="none" w:sz="0" w:space="0" w:color="auto"/>
            <w:right w:val="none" w:sz="0" w:space="0" w:color="auto"/>
          </w:divBdr>
          <w:divsChild>
            <w:div w:id="1401364524">
              <w:marLeft w:val="0"/>
              <w:marRight w:val="0"/>
              <w:marTop w:val="0"/>
              <w:marBottom w:val="0"/>
              <w:divBdr>
                <w:top w:val="none" w:sz="0" w:space="0" w:color="auto"/>
                <w:left w:val="none" w:sz="0" w:space="0" w:color="auto"/>
                <w:bottom w:val="none" w:sz="0" w:space="0" w:color="auto"/>
                <w:right w:val="none" w:sz="0" w:space="0" w:color="auto"/>
              </w:divBdr>
            </w:div>
          </w:divsChild>
        </w:div>
        <w:div w:id="1049691497">
          <w:marLeft w:val="0"/>
          <w:marRight w:val="0"/>
          <w:marTop w:val="0"/>
          <w:marBottom w:val="0"/>
          <w:divBdr>
            <w:top w:val="none" w:sz="0" w:space="0" w:color="auto"/>
            <w:left w:val="none" w:sz="0" w:space="0" w:color="auto"/>
            <w:bottom w:val="none" w:sz="0" w:space="0" w:color="auto"/>
            <w:right w:val="none" w:sz="0" w:space="0" w:color="auto"/>
          </w:divBdr>
          <w:divsChild>
            <w:div w:id="701398583">
              <w:marLeft w:val="0"/>
              <w:marRight w:val="0"/>
              <w:marTop w:val="0"/>
              <w:marBottom w:val="0"/>
              <w:divBdr>
                <w:top w:val="none" w:sz="0" w:space="0" w:color="auto"/>
                <w:left w:val="none" w:sz="0" w:space="0" w:color="auto"/>
                <w:bottom w:val="none" w:sz="0" w:space="0" w:color="auto"/>
                <w:right w:val="none" w:sz="0" w:space="0" w:color="auto"/>
              </w:divBdr>
            </w:div>
          </w:divsChild>
        </w:div>
        <w:div w:id="209463651">
          <w:marLeft w:val="0"/>
          <w:marRight w:val="0"/>
          <w:marTop w:val="0"/>
          <w:marBottom w:val="0"/>
          <w:divBdr>
            <w:top w:val="none" w:sz="0" w:space="0" w:color="auto"/>
            <w:left w:val="none" w:sz="0" w:space="0" w:color="auto"/>
            <w:bottom w:val="none" w:sz="0" w:space="0" w:color="auto"/>
            <w:right w:val="none" w:sz="0" w:space="0" w:color="auto"/>
          </w:divBdr>
        </w:div>
        <w:div w:id="1956983197">
          <w:marLeft w:val="0"/>
          <w:marRight w:val="0"/>
          <w:marTop w:val="0"/>
          <w:marBottom w:val="0"/>
          <w:divBdr>
            <w:top w:val="none" w:sz="0" w:space="0" w:color="auto"/>
            <w:left w:val="none" w:sz="0" w:space="0" w:color="auto"/>
            <w:bottom w:val="none" w:sz="0" w:space="0" w:color="auto"/>
            <w:right w:val="none" w:sz="0" w:space="0" w:color="auto"/>
          </w:divBdr>
          <w:divsChild>
            <w:div w:id="1527257923">
              <w:marLeft w:val="0"/>
              <w:marRight w:val="0"/>
              <w:marTop w:val="0"/>
              <w:marBottom w:val="0"/>
              <w:divBdr>
                <w:top w:val="none" w:sz="0" w:space="0" w:color="auto"/>
                <w:left w:val="none" w:sz="0" w:space="0" w:color="auto"/>
                <w:bottom w:val="none" w:sz="0" w:space="0" w:color="auto"/>
                <w:right w:val="none" w:sz="0" w:space="0" w:color="auto"/>
              </w:divBdr>
            </w:div>
          </w:divsChild>
        </w:div>
        <w:div w:id="1385366867">
          <w:marLeft w:val="0"/>
          <w:marRight w:val="0"/>
          <w:marTop w:val="0"/>
          <w:marBottom w:val="0"/>
          <w:divBdr>
            <w:top w:val="none" w:sz="0" w:space="0" w:color="auto"/>
            <w:left w:val="none" w:sz="0" w:space="0" w:color="auto"/>
            <w:bottom w:val="none" w:sz="0" w:space="0" w:color="auto"/>
            <w:right w:val="none" w:sz="0" w:space="0" w:color="auto"/>
          </w:divBdr>
          <w:divsChild>
            <w:div w:id="1864129551">
              <w:marLeft w:val="0"/>
              <w:marRight w:val="0"/>
              <w:marTop w:val="0"/>
              <w:marBottom w:val="0"/>
              <w:divBdr>
                <w:top w:val="none" w:sz="0" w:space="0" w:color="auto"/>
                <w:left w:val="none" w:sz="0" w:space="0" w:color="auto"/>
                <w:bottom w:val="none" w:sz="0" w:space="0" w:color="auto"/>
                <w:right w:val="none" w:sz="0" w:space="0" w:color="auto"/>
              </w:divBdr>
            </w:div>
          </w:divsChild>
        </w:div>
        <w:div w:id="864490034">
          <w:marLeft w:val="0"/>
          <w:marRight w:val="0"/>
          <w:marTop w:val="0"/>
          <w:marBottom w:val="0"/>
          <w:divBdr>
            <w:top w:val="none" w:sz="0" w:space="0" w:color="auto"/>
            <w:left w:val="none" w:sz="0" w:space="0" w:color="auto"/>
            <w:bottom w:val="none" w:sz="0" w:space="0" w:color="auto"/>
            <w:right w:val="none" w:sz="0" w:space="0" w:color="auto"/>
          </w:divBdr>
          <w:divsChild>
            <w:div w:id="1509757090">
              <w:marLeft w:val="0"/>
              <w:marRight w:val="0"/>
              <w:marTop w:val="0"/>
              <w:marBottom w:val="0"/>
              <w:divBdr>
                <w:top w:val="none" w:sz="0" w:space="0" w:color="auto"/>
                <w:left w:val="none" w:sz="0" w:space="0" w:color="auto"/>
                <w:bottom w:val="none" w:sz="0" w:space="0" w:color="auto"/>
                <w:right w:val="none" w:sz="0" w:space="0" w:color="auto"/>
              </w:divBdr>
            </w:div>
          </w:divsChild>
        </w:div>
        <w:div w:id="1137914928">
          <w:marLeft w:val="0"/>
          <w:marRight w:val="0"/>
          <w:marTop w:val="0"/>
          <w:marBottom w:val="0"/>
          <w:divBdr>
            <w:top w:val="none" w:sz="0" w:space="0" w:color="auto"/>
            <w:left w:val="none" w:sz="0" w:space="0" w:color="auto"/>
            <w:bottom w:val="none" w:sz="0" w:space="0" w:color="auto"/>
            <w:right w:val="none" w:sz="0" w:space="0" w:color="auto"/>
          </w:divBdr>
          <w:divsChild>
            <w:div w:id="822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n.com.na/" TargetMode="External"/><Relationship Id="rId3" Type="http://schemas.openxmlformats.org/officeDocument/2006/relationships/settings" Target="settings.xml"/><Relationship Id="rId7" Type="http://schemas.openxmlformats.org/officeDocument/2006/relationships/hyperlink" Target="http://www.bon.com.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n.com.na/Economic-information/Statistical-information/Balance-of-pay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3260</Words>
  <Characters>18585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Nainda, Abigail</dc:creator>
  <cp:keywords/>
  <dc:description/>
  <cp:lastModifiedBy>Mbazima, Daisy</cp:lastModifiedBy>
  <cp:revision>2</cp:revision>
  <dcterms:created xsi:type="dcterms:W3CDTF">2017-08-23T16:32:00Z</dcterms:created>
  <dcterms:modified xsi:type="dcterms:W3CDTF">2017-08-23T16:32:00Z</dcterms:modified>
</cp:coreProperties>
</file>